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A72F29" w:rsidRDefault="00584FC7">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BB238D" w:rsidP="00BB238D">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84FC7">
            <w:pPr>
              <w:rPr>
                <w:rFonts w:ascii="Arial (W1)" w:hAnsi="Arial (W1)"/>
                <w:b/>
                <w:bCs/>
                <w:noProof w:val="0"/>
                <w:sz w:val="28"/>
                <w:szCs w:val="28"/>
              </w:rPr>
            </w:pPr>
            <w:r>
              <w:rPr>
                <w:rFonts w:hint="cs"/>
                <w:b/>
                <w:bCs/>
                <w:noProof w:val="0"/>
                <w:sz w:val="28"/>
                <w:rtl/>
              </w:rPr>
              <w:t>נתבעת</w:t>
            </w:r>
          </w:p>
        </w:tc>
        <w:tc>
          <w:tcPr>
            <w:tcW w:w="5571" w:type="dxa"/>
          </w:tcPr>
          <w:p w:rsidR="006816EC" w:rsidRDefault="006816EC">
            <w:pPr>
              <w:rPr>
                <w:rFonts w:ascii="Arial (W1)" w:hAnsi="Arial (W1)"/>
                <w:b/>
                <w:bCs/>
                <w:noProof w:val="0"/>
                <w:sz w:val="28"/>
                <w:szCs w:val="28"/>
                <w:rtl/>
              </w:rPr>
            </w:pPr>
          </w:p>
          <w:p w:rsidR="006816EC" w:rsidRDefault="00BB238D" w:rsidP="00BB238D">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584FC7">
            <w:pPr>
              <w:bidi w:val="0"/>
              <w:jc w:val="center"/>
              <w:rPr>
                <w:rFonts w:ascii="Arial" w:hAnsi="Arial"/>
                <w:b/>
                <w:bCs/>
                <w:noProof w:val="0"/>
                <w:sz w:val="28"/>
                <w:szCs w:val="28"/>
                <w:u w:val="single"/>
                <w:rtl/>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p w:rsidR="00F81A58" w:rsidRDefault="00F81A58" w:rsidP="00F81A58">
            <w:pPr>
              <w:bidi w:val="0"/>
              <w:jc w:val="center"/>
              <w:rPr>
                <w:rFonts w:ascii="Arial" w:hAnsi="Arial"/>
                <w:b/>
                <w:bCs/>
                <w:noProof w:val="0"/>
                <w:sz w:val="28"/>
                <w:szCs w:val="28"/>
                <w:u w:val="single"/>
              </w:rPr>
            </w:pPr>
          </w:p>
        </w:tc>
      </w:tr>
    </w:tbl>
    <w:p w:rsidR="00F81A58" w:rsidRDefault="00F81A58" w:rsidP="00F81A58">
      <w:pPr>
        <w:spacing w:line="360" w:lineRule="auto"/>
        <w:jc w:val="both"/>
        <w:rPr>
          <w:rFonts w:ascii="Arial" w:hAnsi="Arial"/>
          <w:noProof w:val="0"/>
          <w:rtl/>
        </w:rPr>
      </w:pPr>
      <w:r>
        <w:rPr>
          <w:rFonts w:ascii="Arial" w:hAnsi="Arial" w:hint="cs"/>
          <w:noProof w:val="0"/>
          <w:rtl/>
        </w:rPr>
        <w:t>לפני תובענה שהוגשה על ידי התובע בהכרעה אחר השאלה מהו המועד בו התובע זכאי לקבלת מחצית מזכויותיה הפנסיוניות של הנתבעת עקב פרישתה מעבודתה.</w:t>
      </w:r>
    </w:p>
    <w:p w:rsidR="00F81A58" w:rsidRDefault="00F81A58" w:rsidP="00F81A58">
      <w:pPr>
        <w:spacing w:line="360" w:lineRule="auto"/>
        <w:jc w:val="both"/>
        <w:rPr>
          <w:rFonts w:ascii="Arial" w:hAnsi="Arial"/>
          <w:noProof w:val="0"/>
          <w:rtl/>
        </w:rPr>
      </w:pPr>
    </w:p>
    <w:p w:rsidR="00F81A58" w:rsidRDefault="00F81A58" w:rsidP="00F81A58">
      <w:pPr>
        <w:spacing w:line="360" w:lineRule="auto"/>
        <w:jc w:val="both"/>
        <w:rPr>
          <w:rFonts w:ascii="Arial" w:hAnsi="Arial"/>
          <w:noProof w:val="0"/>
          <w:rtl/>
        </w:rPr>
      </w:pPr>
      <w:r>
        <w:rPr>
          <w:rFonts w:ascii="Arial" w:hAnsi="Arial" w:hint="cs"/>
          <w:noProof w:val="0"/>
          <w:rtl/>
        </w:rPr>
        <w:t>הצדדים חתמו על הסכם גירושין שקיבל תוקף של פסק דין, במסגרתו עלה הנושא של איזון המשאבים ואף הוגשה חוות דעת אקטוארית בתיק שהסדירה בין היתר את שאלת הזכויות הפנסיוניות באשר למועד חלוקתן.</w:t>
      </w:r>
    </w:p>
    <w:p w:rsidR="00F81A58" w:rsidRDefault="00F81A58" w:rsidP="00F81A58">
      <w:pPr>
        <w:spacing w:line="360" w:lineRule="auto"/>
        <w:jc w:val="both"/>
        <w:rPr>
          <w:rFonts w:ascii="Arial" w:hAnsi="Arial"/>
          <w:noProof w:val="0"/>
          <w:rtl/>
        </w:rPr>
      </w:pPr>
    </w:p>
    <w:p w:rsidR="00F81A58" w:rsidRDefault="00F81A58" w:rsidP="00F81A58">
      <w:pPr>
        <w:spacing w:line="360" w:lineRule="auto"/>
        <w:jc w:val="both"/>
        <w:rPr>
          <w:rFonts w:ascii="Arial" w:hAnsi="Arial"/>
          <w:noProof w:val="0"/>
          <w:rtl/>
        </w:rPr>
      </w:pPr>
      <w:r>
        <w:rPr>
          <w:rFonts w:ascii="Arial" w:hAnsi="Arial" w:hint="cs"/>
          <w:noProof w:val="0"/>
          <w:rtl/>
        </w:rPr>
        <w:t>הנתבעת יצאה לפנסיה עקב מצבה הבריאותי, התובע טוען כי הוא זכאי לקבל את חלקו מרגע שהנתבעת יצאה לפנסיה בעוד האחרונה טוענת כי היא כלל לא יצאה לפנסיה בהתאם למוסכם בין הצדדים וכי היא פרשה עקב נכותה הרפואית.</w:t>
      </w:r>
    </w:p>
    <w:p w:rsidR="00F81A58" w:rsidRDefault="00F81A58" w:rsidP="00F81A58">
      <w:pPr>
        <w:spacing w:line="360" w:lineRule="auto"/>
        <w:jc w:val="both"/>
        <w:rPr>
          <w:rFonts w:ascii="Arial" w:hAnsi="Arial"/>
          <w:noProof w:val="0"/>
          <w:rtl/>
        </w:rPr>
      </w:pPr>
    </w:p>
    <w:p w:rsidR="00F81A58" w:rsidRDefault="00F81A58" w:rsidP="00F81A58">
      <w:pPr>
        <w:spacing w:line="360" w:lineRule="auto"/>
        <w:jc w:val="both"/>
        <w:rPr>
          <w:rFonts w:ascii="Arial" w:hAnsi="Arial"/>
          <w:noProof w:val="0"/>
          <w:rtl/>
        </w:rPr>
      </w:pPr>
      <w:r>
        <w:rPr>
          <w:rFonts w:ascii="Arial" w:hAnsi="Arial" w:hint="cs"/>
          <w:noProof w:val="0"/>
          <w:rtl/>
        </w:rPr>
        <w:t>לאור האמור אני נדרש להכריע בשאלה שבמחלוקת וכפי שיפורט להלן:</w:t>
      </w:r>
    </w:p>
    <w:p w:rsidR="00F81A58" w:rsidRDefault="00F81A58" w:rsidP="00F81A58">
      <w:pPr>
        <w:spacing w:line="360" w:lineRule="auto"/>
        <w:jc w:val="both"/>
        <w:rPr>
          <w:rFonts w:ascii="Arial" w:hAnsi="Arial"/>
          <w:noProof w:val="0"/>
          <w:rtl/>
        </w:rPr>
      </w:pPr>
    </w:p>
    <w:p w:rsidR="00F81A58" w:rsidRPr="00F81A58" w:rsidRDefault="00F81A58" w:rsidP="00F81A58">
      <w:pPr>
        <w:spacing w:line="360" w:lineRule="auto"/>
        <w:ind w:left="567" w:hanging="567"/>
        <w:rPr>
          <w:rFonts w:ascii="Arial" w:hAnsi="Arial"/>
          <w:b/>
          <w:bCs/>
          <w:noProof w:val="0"/>
          <w:sz w:val="28"/>
          <w:szCs w:val="28"/>
          <w:u w:val="double"/>
          <w:rtl/>
        </w:rPr>
      </w:pPr>
      <w:r>
        <w:rPr>
          <w:rFonts w:ascii="Arial" w:hAnsi="Arial" w:hint="cs"/>
          <w:b/>
          <w:bCs/>
          <w:noProof w:val="0"/>
          <w:sz w:val="28"/>
          <w:szCs w:val="28"/>
          <w:u w:val="double"/>
          <w:rtl/>
        </w:rPr>
        <w:t>רקע-</w:t>
      </w:r>
    </w:p>
    <w:p w:rsidR="00F81A58" w:rsidRDefault="00F81A58" w:rsidP="00F81A58">
      <w:pPr>
        <w:spacing w:line="360" w:lineRule="auto"/>
        <w:jc w:val="both"/>
        <w:rPr>
          <w:rFonts w:ascii="Arial" w:hAnsi="Arial"/>
          <w:noProof w:val="0"/>
          <w:rtl/>
        </w:rPr>
      </w:pPr>
    </w:p>
    <w:p w:rsidR="006725EE" w:rsidRDefault="006725EE" w:rsidP="006725EE">
      <w:pPr>
        <w:pStyle w:val="ad"/>
        <w:numPr>
          <w:ilvl w:val="0"/>
          <w:numId w:val="1"/>
        </w:numPr>
        <w:spacing w:line="360" w:lineRule="auto"/>
        <w:jc w:val="both"/>
        <w:rPr>
          <w:rFonts w:ascii="Arial" w:hAnsi="Arial"/>
          <w:noProof w:val="0"/>
        </w:rPr>
      </w:pPr>
      <w:r w:rsidRPr="006725EE">
        <w:rPr>
          <w:rFonts w:ascii="Arial" w:hAnsi="Arial" w:hint="cs"/>
          <w:noProof w:val="0"/>
          <w:rtl/>
        </w:rPr>
        <w:t>התובע והנתבעת נשאו זל"ז ביום 13.07.1992.</w:t>
      </w:r>
    </w:p>
    <w:p w:rsidR="00BE7C09" w:rsidRDefault="00BE7C09" w:rsidP="00BE7C09">
      <w:pPr>
        <w:pStyle w:val="ad"/>
        <w:spacing w:line="360" w:lineRule="auto"/>
        <w:jc w:val="both"/>
        <w:rPr>
          <w:rFonts w:ascii="Arial" w:hAnsi="Arial"/>
          <w:noProof w:val="0"/>
        </w:rPr>
      </w:pPr>
    </w:p>
    <w:p w:rsidR="006725EE" w:rsidRDefault="006725EE" w:rsidP="00004193">
      <w:pPr>
        <w:pStyle w:val="ad"/>
        <w:numPr>
          <w:ilvl w:val="0"/>
          <w:numId w:val="1"/>
        </w:numPr>
        <w:spacing w:line="360" w:lineRule="auto"/>
        <w:jc w:val="both"/>
        <w:rPr>
          <w:rFonts w:ascii="Arial" w:hAnsi="Arial"/>
          <w:noProof w:val="0"/>
        </w:rPr>
      </w:pPr>
      <w:r w:rsidRPr="006725EE">
        <w:rPr>
          <w:rFonts w:ascii="Arial" w:hAnsi="Arial" w:hint="cs"/>
          <w:noProof w:val="0"/>
          <w:rtl/>
        </w:rPr>
        <w:t xml:space="preserve">ביום </w:t>
      </w:r>
      <w:r w:rsidR="00004193">
        <w:rPr>
          <w:rFonts w:ascii="Arial" w:hAnsi="Arial" w:hint="cs"/>
          <w:noProof w:val="0"/>
        </w:rPr>
        <w:t>XXX</w:t>
      </w:r>
      <w:r w:rsidRPr="006725EE">
        <w:rPr>
          <w:rFonts w:ascii="Arial" w:hAnsi="Arial" w:hint="cs"/>
          <w:noProof w:val="0"/>
          <w:rtl/>
        </w:rPr>
        <w:t xml:space="preserve"> התגרשו התובע והנתבעת וביום </w:t>
      </w:r>
      <w:r w:rsidR="00004193">
        <w:rPr>
          <w:rFonts w:ascii="Arial" w:hAnsi="Arial" w:hint="cs"/>
          <w:noProof w:val="0"/>
        </w:rPr>
        <w:t>XXX</w:t>
      </w:r>
      <w:r w:rsidR="00004193">
        <w:rPr>
          <w:rFonts w:ascii="Arial" w:hAnsi="Arial" w:hint="cs"/>
          <w:noProof w:val="0"/>
          <w:rtl/>
        </w:rPr>
        <w:t xml:space="preserve"> </w:t>
      </w:r>
      <w:r w:rsidRPr="006725EE">
        <w:rPr>
          <w:rFonts w:ascii="Arial" w:hAnsi="Arial" w:hint="cs"/>
          <w:noProof w:val="0"/>
          <w:rtl/>
        </w:rPr>
        <w:t xml:space="preserve">חתמו על הסכמות בעניין איזון משאבים הכולל הסכמות שקיבלו תוקף של פס"ד במסגרת תמ"ש </w:t>
      </w:r>
      <w:r w:rsidR="00004193">
        <w:rPr>
          <w:rFonts w:ascii="Arial" w:hAnsi="Arial" w:hint="cs"/>
          <w:noProof w:val="0"/>
        </w:rPr>
        <w:t>XXX</w:t>
      </w:r>
      <w:r w:rsidRPr="006725EE">
        <w:rPr>
          <w:rFonts w:ascii="Arial" w:hAnsi="Arial" w:hint="cs"/>
          <w:noProof w:val="0"/>
          <w:rtl/>
        </w:rPr>
        <w:t xml:space="preserve">. </w:t>
      </w:r>
    </w:p>
    <w:p w:rsidR="00BE7C09" w:rsidRPr="00BE7C09" w:rsidRDefault="00BE7C09" w:rsidP="00BE7C09">
      <w:pPr>
        <w:pStyle w:val="ad"/>
        <w:rPr>
          <w:rFonts w:ascii="Arial" w:hAnsi="Arial"/>
          <w:noProof w:val="0"/>
          <w:rtl/>
        </w:rPr>
      </w:pPr>
    </w:p>
    <w:p w:rsidR="00BE7C09" w:rsidRDefault="00BE7C09" w:rsidP="00BE7C09">
      <w:pPr>
        <w:pStyle w:val="ad"/>
        <w:spacing w:line="360" w:lineRule="auto"/>
        <w:jc w:val="both"/>
        <w:rPr>
          <w:rFonts w:ascii="Arial" w:hAnsi="Arial"/>
          <w:noProof w:val="0"/>
        </w:rPr>
      </w:pPr>
    </w:p>
    <w:p w:rsidR="006725EE" w:rsidRDefault="006725EE" w:rsidP="006725EE">
      <w:pPr>
        <w:pStyle w:val="ad"/>
        <w:numPr>
          <w:ilvl w:val="0"/>
          <w:numId w:val="1"/>
        </w:numPr>
        <w:spacing w:line="360" w:lineRule="auto"/>
        <w:jc w:val="both"/>
        <w:rPr>
          <w:rFonts w:ascii="Arial" w:hAnsi="Arial"/>
          <w:noProof w:val="0"/>
        </w:rPr>
      </w:pPr>
      <w:r>
        <w:rPr>
          <w:rFonts w:ascii="Arial" w:hAnsi="Arial" w:hint="cs"/>
          <w:noProof w:val="0"/>
          <w:rtl/>
        </w:rPr>
        <w:lastRenderedPageBreak/>
        <w:t>התובע</w:t>
      </w:r>
      <w:r w:rsidR="00F81A58">
        <w:rPr>
          <w:rFonts w:ascii="Arial" w:hAnsi="Arial" w:hint="cs"/>
          <w:noProof w:val="0"/>
          <w:rtl/>
        </w:rPr>
        <w:t xml:space="preserve"> </w:t>
      </w:r>
      <w:r>
        <w:rPr>
          <w:rFonts w:ascii="Arial" w:hAnsi="Arial" w:hint="cs"/>
          <w:noProof w:val="0"/>
          <w:rtl/>
        </w:rPr>
        <w:t xml:space="preserve">הגיש </w:t>
      </w:r>
      <w:r w:rsidR="00BE7C09">
        <w:rPr>
          <w:rFonts w:ascii="Arial" w:hAnsi="Arial" w:hint="cs"/>
          <w:noProof w:val="0"/>
          <w:rtl/>
        </w:rPr>
        <w:t>ביום 10.08.21 תביעה לביהמ"ש</w:t>
      </w:r>
      <w:r>
        <w:rPr>
          <w:rFonts w:ascii="Arial" w:hAnsi="Arial" w:hint="cs"/>
          <w:noProof w:val="0"/>
          <w:rtl/>
        </w:rPr>
        <w:t xml:space="preserve"> במסגרתה טוען כי על הנתבעת לשלם לו החל מיום פרישתה לגמלאות ומדי חודש בחודשו את חלקו היחסי בפנסיה המשתלמת לה, דהיינו מחצית מזכויות הפנסיה שנצברו על שמה ממועד הנישואין ועד מועד הקרע (30.07.2010).</w:t>
      </w:r>
    </w:p>
    <w:p w:rsidR="00F81A58" w:rsidRDefault="00F81A58" w:rsidP="00F81A58">
      <w:pPr>
        <w:pStyle w:val="ad"/>
        <w:spacing w:line="360" w:lineRule="auto"/>
        <w:jc w:val="both"/>
        <w:rPr>
          <w:rFonts w:ascii="Arial" w:hAnsi="Arial"/>
          <w:noProof w:val="0"/>
        </w:rPr>
      </w:pPr>
    </w:p>
    <w:p w:rsidR="006725EE" w:rsidRDefault="006725EE" w:rsidP="00004193">
      <w:pPr>
        <w:pStyle w:val="ad"/>
        <w:numPr>
          <w:ilvl w:val="0"/>
          <w:numId w:val="1"/>
        </w:numPr>
        <w:spacing w:line="360" w:lineRule="auto"/>
        <w:jc w:val="both"/>
        <w:rPr>
          <w:rFonts w:ascii="Arial" w:hAnsi="Arial"/>
          <w:noProof w:val="0"/>
        </w:rPr>
      </w:pPr>
      <w:r>
        <w:rPr>
          <w:rFonts w:ascii="Arial" w:hAnsi="Arial" w:hint="cs"/>
          <w:noProof w:val="0"/>
          <w:rtl/>
        </w:rPr>
        <w:t xml:space="preserve">התובע טוען בנוסף כי ביהמ"ש מתבקש ליתן הוראות לביצוע הסכמות הצדדים שקיבלו תוקף של פס"ד ביום </w:t>
      </w:r>
      <w:r w:rsidR="00004193">
        <w:rPr>
          <w:rFonts w:ascii="Arial" w:hAnsi="Arial" w:hint="cs"/>
          <w:noProof w:val="0"/>
        </w:rPr>
        <w:t>XXX</w:t>
      </w:r>
      <w:r w:rsidR="00004193">
        <w:rPr>
          <w:rFonts w:ascii="Arial" w:hAnsi="Arial" w:hint="cs"/>
          <w:noProof w:val="0"/>
          <w:rtl/>
        </w:rPr>
        <w:t xml:space="preserve"> </w:t>
      </w:r>
      <w:r>
        <w:rPr>
          <w:rFonts w:ascii="Arial" w:hAnsi="Arial" w:hint="cs"/>
          <w:noProof w:val="0"/>
          <w:rtl/>
        </w:rPr>
        <w:t xml:space="preserve">במסגרת תמ"ש </w:t>
      </w:r>
      <w:r w:rsidR="00004193">
        <w:rPr>
          <w:rFonts w:ascii="Arial" w:hAnsi="Arial" w:hint="cs"/>
          <w:noProof w:val="0"/>
        </w:rPr>
        <w:t>XXX</w:t>
      </w:r>
      <w:r w:rsidR="00004193">
        <w:rPr>
          <w:rFonts w:ascii="Arial" w:hAnsi="Arial" w:hint="cs"/>
          <w:noProof w:val="0"/>
          <w:rtl/>
        </w:rPr>
        <w:t xml:space="preserve"> </w:t>
      </w:r>
      <w:r>
        <w:rPr>
          <w:rFonts w:ascii="Arial" w:hAnsi="Arial" w:hint="cs"/>
          <w:noProof w:val="0"/>
          <w:rtl/>
        </w:rPr>
        <w:t>וליתן הוראות בדבר מימוש וביצוע ההסכמות האמורות בו.</w:t>
      </w:r>
      <w:r w:rsidRPr="006725EE">
        <w:rPr>
          <w:rFonts w:ascii="Arial" w:hAnsi="Arial" w:hint="cs"/>
          <w:noProof w:val="0"/>
          <w:rtl/>
        </w:rPr>
        <w:t xml:space="preserve"> </w:t>
      </w:r>
    </w:p>
    <w:p w:rsidR="00F81A58" w:rsidRPr="00F81A58" w:rsidRDefault="00F81A58" w:rsidP="00F81A58">
      <w:pPr>
        <w:spacing w:line="360" w:lineRule="auto"/>
        <w:jc w:val="both"/>
        <w:rPr>
          <w:rFonts w:ascii="Arial" w:hAnsi="Arial"/>
          <w:noProof w:val="0"/>
        </w:rPr>
      </w:pPr>
    </w:p>
    <w:p w:rsidR="006725EE" w:rsidRDefault="006725EE" w:rsidP="00004193">
      <w:pPr>
        <w:pStyle w:val="ad"/>
        <w:numPr>
          <w:ilvl w:val="0"/>
          <w:numId w:val="1"/>
        </w:numPr>
        <w:spacing w:line="360" w:lineRule="auto"/>
        <w:jc w:val="both"/>
        <w:rPr>
          <w:rFonts w:ascii="Arial" w:hAnsi="Arial"/>
          <w:noProof w:val="0"/>
        </w:rPr>
      </w:pPr>
      <w:r w:rsidRPr="006725EE">
        <w:rPr>
          <w:rFonts w:ascii="Arial" w:hAnsi="Arial" w:hint="cs"/>
          <w:noProof w:val="0"/>
          <w:rtl/>
        </w:rPr>
        <w:t xml:space="preserve">בס' 5ג' להסכמות הצדדים בתמ"ש </w:t>
      </w:r>
      <w:r w:rsidR="00004193">
        <w:rPr>
          <w:rFonts w:ascii="Arial" w:hAnsi="Arial" w:hint="cs"/>
          <w:noProof w:val="0"/>
        </w:rPr>
        <w:t>XXX</w:t>
      </w:r>
      <w:r w:rsidR="00004193">
        <w:rPr>
          <w:rFonts w:ascii="Arial" w:hAnsi="Arial" w:hint="cs"/>
          <w:noProof w:val="0"/>
          <w:rtl/>
        </w:rPr>
        <w:t xml:space="preserve"> </w:t>
      </w:r>
      <w:r w:rsidRPr="006725EE">
        <w:rPr>
          <w:rFonts w:ascii="Arial" w:hAnsi="Arial" w:hint="cs"/>
          <w:noProof w:val="0"/>
          <w:rtl/>
        </w:rPr>
        <w:t>נקבע כי "תשלומי האיזון לגבי הפנסיה התקציבית ו"מבטחים" יתבצעו עם מועד גמילת הזכויות</w:t>
      </w:r>
      <w:r w:rsidR="00BE7C09">
        <w:rPr>
          <w:rFonts w:ascii="Arial" w:hAnsi="Arial" w:hint="cs"/>
          <w:noProof w:val="0"/>
          <w:rtl/>
        </w:rPr>
        <w:t>,</w:t>
      </w:r>
      <w:r w:rsidRPr="006725EE">
        <w:rPr>
          <w:rFonts w:ascii="Arial" w:hAnsi="Arial" w:hint="cs"/>
          <w:noProof w:val="0"/>
          <w:rtl/>
        </w:rPr>
        <w:t xml:space="preserve"> קרי זכאות הצדדים לקבלת הפנסיה. כל צד יהיה זכאי למחצית מזכויות הפנסיה שנצברו על שם הצד השני ממועד הנישואין ועד ליום 31.07.2010. הצדדים שומרים את הזכות להגיש תובענה להליכי ביצוע בכל הנוגע לזכויות הפנסיה.</w:t>
      </w:r>
    </w:p>
    <w:p w:rsidR="00F81A58" w:rsidRPr="00F81A58" w:rsidRDefault="00F81A58" w:rsidP="00F81A58">
      <w:pPr>
        <w:spacing w:line="360" w:lineRule="auto"/>
        <w:jc w:val="both"/>
        <w:rPr>
          <w:rFonts w:ascii="Arial" w:hAnsi="Arial"/>
          <w:noProof w:val="0"/>
        </w:rPr>
      </w:pPr>
    </w:p>
    <w:p w:rsidR="006725EE" w:rsidRDefault="006725EE" w:rsidP="00BB238D">
      <w:pPr>
        <w:pStyle w:val="ad"/>
        <w:numPr>
          <w:ilvl w:val="0"/>
          <w:numId w:val="1"/>
        </w:numPr>
        <w:spacing w:line="360" w:lineRule="auto"/>
        <w:jc w:val="both"/>
        <w:rPr>
          <w:rFonts w:ascii="Arial" w:hAnsi="Arial"/>
          <w:noProof w:val="0"/>
        </w:rPr>
      </w:pPr>
      <w:r>
        <w:rPr>
          <w:rFonts w:ascii="Arial" w:hAnsi="Arial" w:hint="cs"/>
          <w:noProof w:val="0"/>
          <w:rtl/>
        </w:rPr>
        <w:t xml:space="preserve">הנתבעת עבדה כיועצת חינוכית </w:t>
      </w:r>
      <w:r w:rsidR="00BB238D">
        <w:rPr>
          <w:rFonts w:ascii="Arial" w:hAnsi="Arial"/>
          <w:noProof w:val="0"/>
        </w:rPr>
        <w:t>XXX</w:t>
      </w:r>
      <w:r>
        <w:rPr>
          <w:rFonts w:ascii="Arial" w:hAnsi="Arial" w:hint="cs"/>
          <w:noProof w:val="0"/>
          <w:rtl/>
        </w:rPr>
        <w:t xml:space="preserve"> והתובע עבד במשרד </w:t>
      </w:r>
      <w:r w:rsidR="00BB238D">
        <w:rPr>
          <w:rFonts w:ascii="Arial" w:hAnsi="Arial" w:hint="cs"/>
          <w:noProof w:val="0"/>
        </w:rPr>
        <w:t>XXX</w:t>
      </w:r>
      <w:r>
        <w:rPr>
          <w:rFonts w:ascii="Arial" w:hAnsi="Arial" w:hint="cs"/>
          <w:noProof w:val="0"/>
          <w:rtl/>
        </w:rPr>
        <w:t xml:space="preserve"> נכון למועד הגירושין, לשניהם נצברו זכויות פנסיוניות.</w:t>
      </w:r>
    </w:p>
    <w:p w:rsidR="00F81A58" w:rsidRPr="00F81A58" w:rsidRDefault="00F81A58" w:rsidP="00F81A58">
      <w:pPr>
        <w:spacing w:line="360" w:lineRule="auto"/>
        <w:jc w:val="both"/>
        <w:rPr>
          <w:rFonts w:ascii="Arial" w:hAnsi="Arial"/>
          <w:noProof w:val="0"/>
        </w:rPr>
      </w:pPr>
    </w:p>
    <w:p w:rsidR="006F7A7D" w:rsidRDefault="006F7A7D" w:rsidP="00BB238D">
      <w:pPr>
        <w:pStyle w:val="ad"/>
        <w:numPr>
          <w:ilvl w:val="0"/>
          <w:numId w:val="1"/>
        </w:numPr>
        <w:spacing w:line="360" w:lineRule="auto"/>
        <w:jc w:val="both"/>
        <w:rPr>
          <w:rFonts w:ascii="Arial" w:hAnsi="Arial"/>
          <w:noProof w:val="0"/>
        </w:rPr>
      </w:pPr>
      <w:r>
        <w:rPr>
          <w:rFonts w:ascii="Arial" w:hAnsi="Arial" w:hint="cs"/>
          <w:noProof w:val="0"/>
          <w:rtl/>
        </w:rPr>
        <w:t xml:space="preserve">הנתבעת פרשה מעבודתה </w:t>
      </w:r>
      <w:r w:rsidR="00BB238D">
        <w:rPr>
          <w:rFonts w:ascii="Arial" w:hAnsi="Arial"/>
          <w:noProof w:val="0"/>
        </w:rPr>
        <w:t>XXX</w:t>
      </w:r>
      <w:r>
        <w:rPr>
          <w:rFonts w:ascii="Arial" w:hAnsi="Arial" w:hint="cs"/>
          <w:noProof w:val="0"/>
          <w:rtl/>
        </w:rPr>
        <w:t xml:space="preserve"> ביום 31.08.2014 עקב נכותה הרפואית.</w:t>
      </w:r>
    </w:p>
    <w:p w:rsidR="00F81A58" w:rsidRPr="00F81A58" w:rsidRDefault="00F81A58" w:rsidP="00F81A58">
      <w:pPr>
        <w:spacing w:line="360" w:lineRule="auto"/>
        <w:jc w:val="both"/>
        <w:rPr>
          <w:rFonts w:ascii="Arial" w:hAnsi="Arial"/>
          <w:noProof w:val="0"/>
        </w:rPr>
      </w:pPr>
    </w:p>
    <w:p w:rsidR="006F7A7D" w:rsidRDefault="006F7A7D" w:rsidP="00094281">
      <w:pPr>
        <w:pStyle w:val="ad"/>
        <w:numPr>
          <w:ilvl w:val="0"/>
          <w:numId w:val="1"/>
        </w:numPr>
        <w:spacing w:line="360" w:lineRule="auto"/>
        <w:jc w:val="both"/>
        <w:rPr>
          <w:rFonts w:ascii="Arial" w:hAnsi="Arial"/>
          <w:noProof w:val="0"/>
        </w:rPr>
      </w:pPr>
      <w:r>
        <w:rPr>
          <w:rFonts w:ascii="Arial" w:hAnsi="Arial" w:hint="cs"/>
          <w:noProof w:val="0"/>
          <w:rtl/>
        </w:rPr>
        <w:t>הצדדים קבעו בהסכם כפי שצוין לעיל, כי גיל פרישת הנתבעת לפנסיה יהיה לא לפני הגיעה לגיל 64 שנים</w:t>
      </w:r>
      <w:r w:rsidR="00F81A58">
        <w:rPr>
          <w:rFonts w:ascii="Arial" w:hAnsi="Arial" w:hint="cs"/>
          <w:noProof w:val="0"/>
          <w:rtl/>
        </w:rPr>
        <w:t>, זאת כאשר ידעו שקיימת אפשרות כ</w:t>
      </w:r>
      <w:r>
        <w:rPr>
          <w:rFonts w:ascii="Arial" w:hAnsi="Arial" w:hint="cs"/>
          <w:noProof w:val="0"/>
          <w:rtl/>
        </w:rPr>
        <w:t>י קודם לכן תזכה לתשלומי קצבה עקב פרישה מנכות רפואית, תשלומים שלא יהיו חלק מתשלומי האיזון שיסודן בפנסיה.</w:t>
      </w:r>
    </w:p>
    <w:p w:rsidR="00F81A58" w:rsidRPr="00F81A58" w:rsidRDefault="00F81A58" w:rsidP="00F81A58">
      <w:pPr>
        <w:spacing w:line="360" w:lineRule="auto"/>
        <w:jc w:val="both"/>
        <w:rPr>
          <w:rFonts w:ascii="Arial" w:hAnsi="Arial"/>
          <w:noProof w:val="0"/>
        </w:rPr>
      </w:pPr>
    </w:p>
    <w:p w:rsidR="00F81A58" w:rsidRDefault="00F81A58" w:rsidP="00094281">
      <w:pPr>
        <w:pStyle w:val="ad"/>
        <w:numPr>
          <w:ilvl w:val="0"/>
          <w:numId w:val="1"/>
        </w:numPr>
        <w:spacing w:line="360" w:lineRule="auto"/>
        <w:jc w:val="both"/>
        <w:rPr>
          <w:rFonts w:ascii="Arial" w:hAnsi="Arial"/>
          <w:noProof w:val="0"/>
        </w:rPr>
      </w:pPr>
      <w:r>
        <w:rPr>
          <w:rFonts w:ascii="Arial" w:hAnsi="Arial" w:hint="cs"/>
          <w:noProof w:val="0"/>
          <w:rtl/>
        </w:rPr>
        <w:t>בהמשך לאמור, טענתה הנתבעת כי הדברים כאמור, קיבלו תוקף פס"ד שאישר את הסכם הצדדים, ובהסתמך על חוות דעת אקטואר שמונה ע"י הצדדים עליה מבוסה פסק הדין לאיזון משאבים אותו צירף התובע לתביעתו.</w:t>
      </w:r>
    </w:p>
    <w:p w:rsidR="00F81A58" w:rsidRPr="00F81A58" w:rsidRDefault="00F81A58" w:rsidP="00F81A58">
      <w:pPr>
        <w:spacing w:line="360" w:lineRule="auto"/>
        <w:jc w:val="both"/>
        <w:rPr>
          <w:rFonts w:ascii="Arial" w:hAnsi="Arial"/>
          <w:noProof w:val="0"/>
        </w:rPr>
      </w:pPr>
    </w:p>
    <w:p w:rsid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 xml:space="preserve">הנתבעת מציינת כי מהסכם הגירושין בס' 41-46 ניתן ללמוד כי איזון המשאבים יערך עם גמילתן של כל אחת מזכויות הגמל והפנסיה לאחר שהצדדים יודיעו על הזכויות אותן צברו. כאמור ומשלא הושגו הסכמות פעלו הצדדים בהתאם לס' 46 להסכם ומינו יחד אקטואר אשר יתווה דרך לביצוע איזון המשאבים ביניהם. התובע לטענת הנתבעת בחר שלא לחשוף את כל </w:t>
      </w:r>
      <w:r>
        <w:rPr>
          <w:rFonts w:ascii="Arial" w:hAnsi="Arial" w:hint="cs"/>
          <w:noProof w:val="0"/>
          <w:rtl/>
        </w:rPr>
        <w:lastRenderedPageBreak/>
        <w:t>הנתונים אודות הזכויות אותן צבר והיא פנתה בתביעה לאיזון משאבים בתה"ס 43297-01-13.</w:t>
      </w:r>
    </w:p>
    <w:p w:rsidR="00F81A58" w:rsidRPr="00F81A58" w:rsidRDefault="00F81A58" w:rsidP="00F81A58">
      <w:pPr>
        <w:spacing w:line="360" w:lineRule="auto"/>
        <w:jc w:val="both"/>
        <w:rPr>
          <w:rFonts w:ascii="Arial" w:hAnsi="Arial"/>
          <w:noProof w:val="0"/>
        </w:rPr>
      </w:pPr>
    </w:p>
    <w:p w:rsid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במסגרת התיק כאמור התקבלה חוות דעת האקטואר והיוותה בסיס להתדיינויות בבית המשפט והבסיס עליו ניתן פסק הדין בתיק איזון המשאבים.</w:t>
      </w:r>
    </w:p>
    <w:p w:rsidR="00F81A58" w:rsidRPr="00F81A58" w:rsidRDefault="00F81A58" w:rsidP="00F81A58">
      <w:pPr>
        <w:spacing w:line="360" w:lineRule="auto"/>
        <w:jc w:val="both"/>
        <w:rPr>
          <w:rFonts w:ascii="Arial" w:hAnsi="Arial"/>
          <w:noProof w:val="0"/>
        </w:rPr>
      </w:pPr>
    </w:p>
    <w:p w:rsidR="00F81A58" w:rsidRDefault="00F81A58" w:rsidP="00BB238D">
      <w:pPr>
        <w:pStyle w:val="ad"/>
        <w:numPr>
          <w:ilvl w:val="0"/>
          <w:numId w:val="1"/>
        </w:numPr>
        <w:spacing w:line="360" w:lineRule="auto"/>
        <w:jc w:val="both"/>
        <w:rPr>
          <w:rFonts w:ascii="Arial" w:hAnsi="Arial"/>
          <w:noProof w:val="0"/>
        </w:rPr>
      </w:pPr>
      <w:r>
        <w:rPr>
          <w:rFonts w:ascii="Arial" w:hAnsi="Arial" w:hint="cs"/>
          <w:noProof w:val="0"/>
          <w:rtl/>
        </w:rPr>
        <w:t xml:space="preserve">במעמד כתיבת חוות הדעת הועבר מידע לאקטואר בגין מצבה הבריאותי של הנתבעת ובנוגע לאפשרות שתפרוש </w:t>
      </w:r>
      <w:r w:rsidR="00BB238D">
        <w:rPr>
          <w:rFonts w:ascii="Arial" w:hAnsi="Arial" w:hint="cs"/>
          <w:noProof w:val="0"/>
          <w:rtl/>
        </w:rPr>
        <w:t>מ-</w:t>
      </w:r>
      <w:r w:rsidR="00BB238D">
        <w:rPr>
          <w:rFonts w:ascii="Arial" w:hAnsi="Arial" w:hint="cs"/>
          <w:noProof w:val="0"/>
        </w:rPr>
        <w:t>XXX</w:t>
      </w:r>
      <w:r>
        <w:rPr>
          <w:rFonts w:ascii="Arial" w:hAnsi="Arial" w:hint="cs"/>
          <w:noProof w:val="0"/>
          <w:rtl/>
        </w:rPr>
        <w:t xml:space="preserve"> עקב  נכותה.</w:t>
      </w:r>
    </w:p>
    <w:p w:rsidR="00F81A58" w:rsidRPr="00F81A58" w:rsidRDefault="00F81A58" w:rsidP="00F81A58">
      <w:pPr>
        <w:spacing w:line="360" w:lineRule="auto"/>
        <w:jc w:val="both"/>
        <w:rPr>
          <w:rFonts w:ascii="Arial" w:hAnsi="Arial"/>
          <w:noProof w:val="0"/>
        </w:rPr>
      </w:pPr>
    </w:p>
    <w:p w:rsid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 xml:space="preserve">בחוות הדעת נקבעה הדרך לאיזון המשאבים שהתבסס בין היתר על קביעות בדבר מצבה של הנתבעת כי היא לא עובדת והייתה במצב בריאותי רע וכי נבחנת האפשרות לפרישה עקב מצבה הבריאותי. </w:t>
      </w:r>
    </w:p>
    <w:p w:rsidR="00F81A58" w:rsidRPr="00F81A58" w:rsidRDefault="00F81A58" w:rsidP="00F81A58">
      <w:pPr>
        <w:spacing w:line="360" w:lineRule="auto"/>
        <w:jc w:val="both"/>
        <w:rPr>
          <w:rFonts w:ascii="Arial" w:hAnsi="Arial"/>
          <w:noProof w:val="0"/>
        </w:rPr>
      </w:pPr>
    </w:p>
    <w:p w:rsidR="00F81A58" w:rsidRDefault="00F81A58" w:rsidP="006C42C0">
      <w:pPr>
        <w:pStyle w:val="ad"/>
        <w:numPr>
          <w:ilvl w:val="0"/>
          <w:numId w:val="1"/>
        </w:numPr>
        <w:spacing w:line="360" w:lineRule="auto"/>
        <w:jc w:val="both"/>
        <w:rPr>
          <w:rFonts w:ascii="Arial" w:hAnsi="Arial"/>
          <w:noProof w:val="0"/>
        </w:rPr>
      </w:pPr>
      <w:r>
        <w:rPr>
          <w:rFonts w:ascii="Arial" w:hAnsi="Arial" w:hint="cs"/>
          <w:noProof w:val="0"/>
          <w:rtl/>
        </w:rPr>
        <w:t xml:space="preserve">לאור הנסיבות כאמור בחרו הצדדים לבצע איזון על דרך ב' </w:t>
      </w:r>
      <w:r w:rsidR="006C42C0">
        <w:rPr>
          <w:rFonts w:ascii="Arial" w:hAnsi="Arial" w:hint="cs"/>
          <w:noProof w:val="0"/>
          <w:rtl/>
        </w:rPr>
        <w:t>כמפורט ב</w:t>
      </w:r>
      <w:r>
        <w:rPr>
          <w:rFonts w:ascii="Arial" w:hAnsi="Arial" w:hint="cs"/>
          <w:noProof w:val="0"/>
          <w:rtl/>
        </w:rPr>
        <w:t>חוות הדעת האקטוארית.</w:t>
      </w:r>
    </w:p>
    <w:p w:rsidR="00F81A58" w:rsidRPr="00F81A58" w:rsidRDefault="00F81A58" w:rsidP="00F81A58">
      <w:pPr>
        <w:spacing w:line="360" w:lineRule="auto"/>
        <w:jc w:val="both"/>
        <w:rPr>
          <w:rFonts w:ascii="Arial" w:hAnsi="Arial"/>
          <w:noProof w:val="0"/>
        </w:rPr>
      </w:pPr>
    </w:p>
    <w:p w:rsid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בסעיף קטן ג</w:t>
      </w:r>
      <w:r w:rsidR="006C42C0">
        <w:rPr>
          <w:rFonts w:ascii="Arial" w:hAnsi="Arial" w:hint="cs"/>
          <w:noProof w:val="0"/>
          <w:rtl/>
        </w:rPr>
        <w:t>'</w:t>
      </w:r>
      <w:r>
        <w:rPr>
          <w:rFonts w:ascii="Arial" w:hAnsi="Arial" w:hint="cs"/>
          <w:noProof w:val="0"/>
          <w:rtl/>
        </w:rPr>
        <w:t xml:space="preserve"> בחוות הדעת נקבע כי חובת הנתבעת לשתף את התובע בתשלומי הפנסיה התקציבית אותם צברה תחול עם הגיע התובעת לגיל </w:t>
      </w:r>
      <w:r w:rsidR="006C42C0">
        <w:rPr>
          <w:rFonts w:ascii="Arial" w:hAnsi="Arial" w:hint="cs"/>
          <w:noProof w:val="0"/>
          <w:rtl/>
        </w:rPr>
        <w:t>64</w:t>
      </w:r>
      <w:r>
        <w:rPr>
          <w:rFonts w:ascii="Arial" w:hAnsi="Arial" w:hint="cs"/>
          <w:noProof w:val="0"/>
          <w:rtl/>
        </w:rPr>
        <w:t xml:space="preserve"> שנים ולא קודם לכן.</w:t>
      </w:r>
    </w:p>
    <w:p w:rsidR="00F81A58" w:rsidRPr="00F81A58" w:rsidRDefault="00F81A58" w:rsidP="00F81A58">
      <w:pPr>
        <w:spacing w:line="360" w:lineRule="auto"/>
        <w:jc w:val="both"/>
        <w:rPr>
          <w:rFonts w:ascii="Arial" w:hAnsi="Arial"/>
          <w:noProof w:val="0"/>
        </w:rPr>
      </w:pPr>
    </w:p>
    <w:p w:rsid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הנתבעת פרשה מעבודתה עקב מצבה כאמור ולטענתה, התובע זכאי לקבלת איזון זכויות הפנסיה שהתגבשו עד מועד הקרע עם הגיעה לגיל 64.</w:t>
      </w:r>
    </w:p>
    <w:p w:rsidR="00F81A58" w:rsidRPr="00F81A58" w:rsidRDefault="00F81A58" w:rsidP="00F81A58">
      <w:pPr>
        <w:spacing w:line="360" w:lineRule="auto"/>
        <w:jc w:val="both"/>
        <w:rPr>
          <w:rFonts w:ascii="Arial" w:hAnsi="Arial"/>
          <w:noProof w:val="0"/>
        </w:rPr>
      </w:pPr>
    </w:p>
    <w:p w:rsidR="00F81A58" w:rsidRPr="00F81A58" w:rsidRDefault="00F81A58" w:rsidP="00F81A58">
      <w:pPr>
        <w:pStyle w:val="ad"/>
        <w:numPr>
          <w:ilvl w:val="0"/>
          <w:numId w:val="1"/>
        </w:numPr>
        <w:spacing w:line="360" w:lineRule="auto"/>
        <w:jc w:val="both"/>
        <w:rPr>
          <w:rFonts w:ascii="Arial" w:hAnsi="Arial"/>
          <w:noProof w:val="0"/>
        </w:rPr>
      </w:pPr>
      <w:r>
        <w:rPr>
          <w:rFonts w:ascii="Arial" w:hAnsi="Arial" w:hint="cs"/>
          <w:noProof w:val="0"/>
          <w:rtl/>
        </w:rPr>
        <w:t>הנתבעת מציינת כי פרשה מעבודה עקב מצבה הרפואי ולא פרשה לגמלאות.</w:t>
      </w:r>
    </w:p>
    <w:p w:rsidR="006725EE" w:rsidRDefault="006725EE">
      <w:pPr>
        <w:spacing w:line="360" w:lineRule="auto"/>
        <w:jc w:val="both"/>
        <w:rPr>
          <w:rFonts w:ascii="Arial" w:hAnsi="Arial"/>
          <w:noProof w:val="0"/>
          <w:rtl/>
        </w:rPr>
      </w:pPr>
    </w:p>
    <w:p w:rsidR="00F81A58" w:rsidRPr="00F81A58" w:rsidRDefault="00F81A58" w:rsidP="00F81A58">
      <w:pPr>
        <w:spacing w:line="360" w:lineRule="auto"/>
        <w:ind w:left="360"/>
        <w:rPr>
          <w:rFonts w:ascii="Arial" w:hAnsi="Arial"/>
          <w:b/>
          <w:bCs/>
          <w:noProof w:val="0"/>
          <w:sz w:val="28"/>
          <w:szCs w:val="28"/>
          <w:u w:val="double"/>
        </w:rPr>
      </w:pPr>
      <w:r w:rsidRPr="00F81A58">
        <w:rPr>
          <w:rFonts w:ascii="Arial" w:hAnsi="Arial" w:hint="cs"/>
          <w:b/>
          <w:bCs/>
          <w:noProof w:val="0"/>
          <w:sz w:val="28"/>
          <w:szCs w:val="28"/>
          <w:u w:val="double"/>
          <w:rtl/>
        </w:rPr>
        <w:t>טענות התובע-</w:t>
      </w:r>
    </w:p>
    <w:p w:rsidR="00F81A58" w:rsidRDefault="006725EE" w:rsidP="00004193">
      <w:pPr>
        <w:pStyle w:val="ad"/>
        <w:numPr>
          <w:ilvl w:val="0"/>
          <w:numId w:val="1"/>
        </w:numPr>
        <w:spacing w:line="360" w:lineRule="auto"/>
        <w:jc w:val="both"/>
        <w:rPr>
          <w:rFonts w:ascii="Arial" w:hAnsi="Arial"/>
          <w:noProof w:val="0"/>
        </w:rPr>
      </w:pPr>
      <w:r>
        <w:rPr>
          <w:rFonts w:ascii="Arial" w:hAnsi="Arial" w:hint="cs"/>
          <w:noProof w:val="0"/>
          <w:rtl/>
        </w:rPr>
        <w:t xml:space="preserve">התובע טוען כי בהתאם להסכמות שניתנו  בתמ"ש </w:t>
      </w:r>
      <w:r w:rsidR="00004193">
        <w:rPr>
          <w:rFonts w:ascii="Arial" w:hAnsi="Arial" w:hint="cs"/>
          <w:noProof w:val="0"/>
        </w:rPr>
        <w:t>XXX</w:t>
      </w:r>
      <w:r>
        <w:rPr>
          <w:rFonts w:ascii="Arial" w:hAnsi="Arial" w:hint="cs"/>
          <w:noProof w:val="0"/>
          <w:rtl/>
        </w:rPr>
        <w:t xml:space="preserve"> כל צד זכאי למחצית מזכויות הפנסיה שנצברו על שם הצד השני בתקופת השיתוף מ13.07.1992 ועד 31.07.2010 עם גמילת הזכויות.</w:t>
      </w:r>
    </w:p>
    <w:p w:rsidR="00F81A58" w:rsidRPr="00F81A58" w:rsidRDefault="00F81A58" w:rsidP="00F81A58">
      <w:pPr>
        <w:pStyle w:val="ad"/>
        <w:spacing w:line="360" w:lineRule="auto"/>
        <w:jc w:val="both"/>
        <w:rPr>
          <w:rFonts w:ascii="Arial" w:hAnsi="Arial"/>
          <w:noProof w:val="0"/>
        </w:rPr>
      </w:pPr>
    </w:p>
    <w:p w:rsidR="006725EE" w:rsidRDefault="006725EE" w:rsidP="006725EE">
      <w:pPr>
        <w:pStyle w:val="ad"/>
        <w:numPr>
          <w:ilvl w:val="0"/>
          <w:numId w:val="1"/>
        </w:numPr>
        <w:spacing w:line="360" w:lineRule="auto"/>
        <w:jc w:val="both"/>
        <w:rPr>
          <w:rFonts w:ascii="Arial" w:hAnsi="Arial"/>
          <w:noProof w:val="0"/>
        </w:rPr>
      </w:pPr>
      <w:r>
        <w:rPr>
          <w:rFonts w:ascii="Arial" w:hAnsi="Arial" w:hint="cs"/>
          <w:noProof w:val="0"/>
          <w:rtl/>
        </w:rPr>
        <w:lastRenderedPageBreak/>
        <w:t>התובע טוען כי הסתבר לו שהנתבעת פרשה לגמלאות וכי עובדה זו הוסתרה ממנו, תוך שהיא אינה משלמת לתובע מדי חודש בחודשו ממועד פרישתה לגמלאות, את חלקו היחסי בפנסיה המשתלמת לה.</w:t>
      </w:r>
    </w:p>
    <w:p w:rsidR="00F81A58" w:rsidRDefault="006725EE" w:rsidP="00F81A58">
      <w:pPr>
        <w:pStyle w:val="ad"/>
        <w:numPr>
          <w:ilvl w:val="0"/>
          <w:numId w:val="1"/>
        </w:numPr>
        <w:spacing w:line="360" w:lineRule="auto"/>
        <w:jc w:val="both"/>
        <w:rPr>
          <w:rFonts w:ascii="Arial" w:hAnsi="Arial"/>
          <w:noProof w:val="0"/>
        </w:rPr>
      </w:pPr>
      <w:r>
        <w:rPr>
          <w:rFonts w:ascii="Arial" w:hAnsi="Arial" w:hint="cs"/>
          <w:noProof w:val="0"/>
          <w:rtl/>
        </w:rPr>
        <w:t>התובע מציין כי בהתאם לס' 7 לחוק בימ"ש לענייני משפחה- הליכי ביצוע לאיזון משאבים בין בני זוג יבוצעו על ידי החלטת ביהמ"</w:t>
      </w:r>
      <w:r w:rsidR="00262A55">
        <w:rPr>
          <w:rFonts w:ascii="Arial" w:hAnsi="Arial" w:hint="cs"/>
          <w:noProof w:val="0"/>
          <w:rtl/>
        </w:rPr>
        <w:t>ש לענייני משפחה ובפיקוחו זולת אם</w:t>
      </w:r>
      <w:r>
        <w:rPr>
          <w:rFonts w:ascii="Arial" w:hAnsi="Arial" w:hint="cs"/>
          <w:noProof w:val="0"/>
          <w:rtl/>
        </w:rPr>
        <w:t xml:space="preserve"> הורה ביהמ"ש על ביצועם בלשכת הוצל"פ, ומשכך פנה בתובענה זו לביהמ"ש הנכבד למתן החלטה בנושא.</w:t>
      </w:r>
    </w:p>
    <w:p w:rsidR="00F81A58" w:rsidRPr="00F81A58" w:rsidRDefault="00F81A58" w:rsidP="00F81A58">
      <w:pPr>
        <w:pStyle w:val="ad"/>
        <w:spacing w:line="360" w:lineRule="auto"/>
        <w:jc w:val="both"/>
        <w:rPr>
          <w:rFonts w:ascii="Arial" w:hAnsi="Arial"/>
          <w:noProof w:val="0"/>
        </w:rPr>
      </w:pPr>
    </w:p>
    <w:p w:rsidR="006F7A7D" w:rsidRPr="006F7A7D" w:rsidRDefault="006725EE" w:rsidP="006F7A7D">
      <w:pPr>
        <w:pStyle w:val="ad"/>
        <w:numPr>
          <w:ilvl w:val="0"/>
          <w:numId w:val="1"/>
        </w:numPr>
        <w:spacing w:line="360" w:lineRule="auto"/>
        <w:jc w:val="both"/>
        <w:rPr>
          <w:rFonts w:ascii="Arial" w:hAnsi="Arial"/>
          <w:noProof w:val="0"/>
          <w:rtl/>
        </w:rPr>
      </w:pPr>
      <w:r>
        <w:rPr>
          <w:rFonts w:ascii="Arial" w:hAnsi="Arial" w:hint="cs"/>
          <w:noProof w:val="0"/>
          <w:rtl/>
        </w:rPr>
        <w:t>התובע פנה לבימה"ש על מנת לחייב את הנתבעת לשלם לו את חלקו היחסי הפנסיה המשתלמת לה , החל ממועד פרישתה לגמלאות ומידי חודש בחודשו, דהיינו מחצית מזכויות הפנסיה שנצברו על שמה ממועד הנישואין ועד מועד הקרע. ולחייבה בהוצאות משפט.</w:t>
      </w:r>
    </w:p>
    <w:p w:rsidR="00694556" w:rsidRDefault="00694556">
      <w:pPr>
        <w:spacing w:line="360" w:lineRule="auto"/>
        <w:jc w:val="both"/>
        <w:rPr>
          <w:rFonts w:ascii="Arial" w:hAnsi="Arial"/>
          <w:noProof w:val="0"/>
          <w:rtl/>
        </w:rPr>
      </w:pPr>
    </w:p>
    <w:p w:rsidR="00F81A58" w:rsidRPr="00F81A58" w:rsidRDefault="00F81A58" w:rsidP="00DA46AE">
      <w:pPr>
        <w:spacing w:line="360" w:lineRule="auto"/>
        <w:ind w:left="360"/>
        <w:rPr>
          <w:rFonts w:ascii="Arial" w:hAnsi="Arial"/>
          <w:b/>
          <w:bCs/>
          <w:noProof w:val="0"/>
          <w:sz w:val="28"/>
          <w:szCs w:val="28"/>
          <w:u w:val="double"/>
        </w:rPr>
      </w:pPr>
      <w:r>
        <w:rPr>
          <w:rFonts w:ascii="Arial" w:hAnsi="Arial" w:hint="cs"/>
          <w:b/>
          <w:bCs/>
          <w:noProof w:val="0"/>
          <w:sz w:val="28"/>
          <w:szCs w:val="28"/>
          <w:u w:val="double"/>
          <w:rtl/>
        </w:rPr>
        <w:t>טענות הנתבעת-</w:t>
      </w:r>
    </w:p>
    <w:p w:rsidR="006725EE" w:rsidRDefault="006725EE" w:rsidP="006F7A7D">
      <w:pPr>
        <w:pStyle w:val="ad"/>
        <w:numPr>
          <w:ilvl w:val="0"/>
          <w:numId w:val="1"/>
        </w:numPr>
        <w:spacing w:line="360" w:lineRule="auto"/>
        <w:jc w:val="both"/>
        <w:rPr>
          <w:rFonts w:ascii="Arial" w:hAnsi="Arial"/>
          <w:noProof w:val="0"/>
        </w:rPr>
      </w:pPr>
      <w:r w:rsidRPr="006F7A7D">
        <w:rPr>
          <w:rFonts w:ascii="Arial" w:hAnsi="Arial" w:hint="cs"/>
          <w:noProof w:val="0"/>
          <w:rtl/>
        </w:rPr>
        <w:t>הנתבעת טוענת כי דין התביעה להידחות, כי מדוב</w:t>
      </w:r>
      <w:r w:rsidR="00262A55">
        <w:rPr>
          <w:rFonts w:ascii="Arial" w:hAnsi="Arial" w:hint="cs"/>
          <w:noProof w:val="0"/>
          <w:rtl/>
        </w:rPr>
        <w:t xml:space="preserve">ר בתביעת סרק, חסרת כל שחר ובסיס </w:t>
      </w:r>
      <w:r w:rsidRPr="006F7A7D">
        <w:rPr>
          <w:rFonts w:ascii="Arial" w:hAnsi="Arial" w:hint="cs"/>
          <w:noProof w:val="0"/>
          <w:rtl/>
        </w:rPr>
        <w:t>עובדתי ומשפטי ומשקפת את חוסר תום ליבו של התובע.</w:t>
      </w:r>
    </w:p>
    <w:p w:rsidR="006F7A7D" w:rsidRDefault="006F7A7D" w:rsidP="00F76DD9">
      <w:pPr>
        <w:pStyle w:val="ad"/>
        <w:numPr>
          <w:ilvl w:val="0"/>
          <w:numId w:val="1"/>
        </w:numPr>
        <w:spacing w:line="360" w:lineRule="auto"/>
        <w:jc w:val="both"/>
        <w:rPr>
          <w:rFonts w:ascii="Arial" w:hAnsi="Arial"/>
          <w:noProof w:val="0"/>
        </w:rPr>
      </w:pPr>
      <w:r>
        <w:rPr>
          <w:rFonts w:ascii="Arial" w:hAnsi="Arial" w:hint="cs"/>
          <w:noProof w:val="0"/>
          <w:rtl/>
        </w:rPr>
        <w:t xml:space="preserve">הנתבעת מציינת כי פרשה מעבודתה </w:t>
      </w:r>
      <w:r w:rsidR="00F76DD9">
        <w:rPr>
          <w:rFonts w:ascii="Arial" w:hAnsi="Arial" w:hint="cs"/>
          <w:noProof w:val="0"/>
          <w:rtl/>
        </w:rPr>
        <w:t>ב-</w:t>
      </w:r>
      <w:r w:rsidR="00F76DD9">
        <w:rPr>
          <w:rFonts w:ascii="Arial" w:hAnsi="Arial" w:hint="cs"/>
          <w:noProof w:val="0"/>
        </w:rPr>
        <w:t>XXX</w:t>
      </w:r>
      <w:r>
        <w:rPr>
          <w:rFonts w:ascii="Arial" w:hAnsi="Arial" w:hint="cs"/>
          <w:noProof w:val="0"/>
          <w:rtl/>
        </w:rPr>
        <w:t xml:space="preserve"> עקב נכותה הרפואית המקנה לה קצבה מנציבות שירות המדינה.</w:t>
      </w:r>
    </w:p>
    <w:p w:rsidR="006F7A7D" w:rsidRDefault="006F7A7D" w:rsidP="006F7A7D">
      <w:pPr>
        <w:pStyle w:val="ad"/>
        <w:numPr>
          <w:ilvl w:val="0"/>
          <w:numId w:val="1"/>
        </w:numPr>
        <w:spacing w:line="360" w:lineRule="auto"/>
        <w:jc w:val="both"/>
        <w:rPr>
          <w:rFonts w:ascii="Arial" w:hAnsi="Arial"/>
          <w:noProof w:val="0"/>
        </w:rPr>
      </w:pPr>
      <w:r>
        <w:rPr>
          <w:rFonts w:ascii="Arial" w:hAnsi="Arial" w:hint="cs"/>
          <w:noProof w:val="0"/>
          <w:rtl/>
        </w:rPr>
        <w:t>הנתבעת מציינת כי בטרם פרידת הצדדים, ידע התובע והיה שותף בבקשות הנתבעת אחר רצונה לפרוש מעבודתה עקב נכותה כאמור, תהליך שלטענתה נמשך עד לפרישתה של הנתבעת מעבודה ביום 31.08.14.</w:t>
      </w:r>
    </w:p>
    <w:p w:rsidR="00F81A58" w:rsidRDefault="00F81A58" w:rsidP="00262A55">
      <w:pPr>
        <w:pStyle w:val="ad"/>
        <w:numPr>
          <w:ilvl w:val="0"/>
          <w:numId w:val="1"/>
        </w:numPr>
        <w:spacing w:line="360" w:lineRule="auto"/>
        <w:jc w:val="both"/>
        <w:rPr>
          <w:rFonts w:ascii="Arial" w:hAnsi="Arial"/>
          <w:noProof w:val="0"/>
        </w:rPr>
      </w:pPr>
      <w:r>
        <w:rPr>
          <w:rFonts w:ascii="Arial" w:hAnsi="Arial" w:hint="cs"/>
          <w:noProof w:val="0"/>
          <w:rtl/>
        </w:rPr>
        <w:t xml:space="preserve">הנתבעת מציינת כי משנת 2009 </w:t>
      </w:r>
      <w:r w:rsidR="00262A55">
        <w:rPr>
          <w:rFonts w:ascii="Arial" w:hAnsi="Arial" w:hint="cs"/>
          <w:noProof w:val="0"/>
          <w:rtl/>
        </w:rPr>
        <w:t xml:space="preserve">שהתה </w:t>
      </w:r>
      <w:r>
        <w:rPr>
          <w:rFonts w:ascii="Arial" w:hAnsi="Arial" w:hint="cs"/>
          <w:noProof w:val="0"/>
          <w:rtl/>
        </w:rPr>
        <w:t>בחופשות מחלה ממושכות, שכללו היעדרויות מעבודה, עקב מצבה הרפואי. הנתבעת מציינת בנוסף כי, בתמיכתו של התובע פנתה בתביעת נכות למוסד לביטוח לאומי.</w:t>
      </w:r>
    </w:p>
    <w:p w:rsidR="00F81A58" w:rsidRDefault="00F81A58" w:rsidP="00D75BE6">
      <w:pPr>
        <w:pStyle w:val="ad"/>
        <w:numPr>
          <w:ilvl w:val="0"/>
          <w:numId w:val="1"/>
        </w:numPr>
        <w:spacing w:line="360" w:lineRule="auto"/>
        <w:jc w:val="both"/>
        <w:rPr>
          <w:rFonts w:ascii="Arial" w:hAnsi="Arial"/>
          <w:noProof w:val="0"/>
        </w:rPr>
      </w:pPr>
      <w:r>
        <w:rPr>
          <w:rFonts w:ascii="Arial" w:hAnsi="Arial" w:hint="cs"/>
          <w:noProof w:val="0"/>
          <w:rtl/>
        </w:rPr>
        <w:t>הנתבעת מציי</w:t>
      </w:r>
      <w:r w:rsidR="00262A55">
        <w:rPr>
          <w:rFonts w:ascii="Arial" w:hAnsi="Arial" w:hint="cs"/>
          <w:noProof w:val="0"/>
          <w:rtl/>
        </w:rPr>
        <w:t>נת כי בשנת 2009 החלה לעבוד באופן חלק</w:t>
      </w:r>
      <w:r>
        <w:rPr>
          <w:rFonts w:ascii="Arial" w:hAnsi="Arial" w:hint="cs"/>
          <w:noProof w:val="0"/>
          <w:rtl/>
        </w:rPr>
        <w:t>י וממחצית שנת 2010 השתכרה מקרן מחלה של עובדי המדינה מאחר ולא עבדה ולא יכלה לעבוד עקב מצבה הבריאותי.</w:t>
      </w:r>
    </w:p>
    <w:p w:rsidR="00F81A58" w:rsidRDefault="00F81A58" w:rsidP="00D75BE6">
      <w:pPr>
        <w:pStyle w:val="ad"/>
        <w:numPr>
          <w:ilvl w:val="0"/>
          <w:numId w:val="1"/>
        </w:numPr>
        <w:spacing w:line="360" w:lineRule="auto"/>
        <w:jc w:val="both"/>
        <w:rPr>
          <w:rFonts w:ascii="Arial" w:hAnsi="Arial"/>
          <w:noProof w:val="0"/>
        </w:rPr>
      </w:pPr>
      <w:r>
        <w:rPr>
          <w:rFonts w:ascii="Arial" w:hAnsi="Arial" w:hint="cs"/>
          <w:noProof w:val="0"/>
          <w:rtl/>
        </w:rPr>
        <w:t xml:space="preserve">בהמשך לאמור, משנת 2011 נקבעה לנתבעת ע"י המוסד </w:t>
      </w:r>
      <w:r w:rsidR="00262A55">
        <w:rPr>
          <w:rFonts w:ascii="Arial" w:hAnsi="Arial" w:hint="cs"/>
          <w:noProof w:val="0"/>
          <w:rtl/>
        </w:rPr>
        <w:t xml:space="preserve">לביטוח לאומי נכות בשיעור 100% </w:t>
      </w:r>
      <w:r>
        <w:rPr>
          <w:rFonts w:ascii="Arial" w:hAnsi="Arial" w:hint="cs"/>
          <w:noProof w:val="0"/>
          <w:rtl/>
        </w:rPr>
        <w:t>צמיתה שנקבעה מיום 01.08.13.</w:t>
      </w:r>
    </w:p>
    <w:p w:rsidR="00F81A58" w:rsidRPr="00F81A58" w:rsidRDefault="00F81A58" w:rsidP="00D75BE6">
      <w:pPr>
        <w:pStyle w:val="ad"/>
        <w:numPr>
          <w:ilvl w:val="0"/>
          <w:numId w:val="1"/>
        </w:numPr>
        <w:spacing w:line="360" w:lineRule="auto"/>
        <w:jc w:val="both"/>
        <w:rPr>
          <w:rFonts w:ascii="Arial" w:hAnsi="Arial"/>
          <w:noProof w:val="0"/>
        </w:rPr>
      </w:pPr>
      <w:r>
        <w:rPr>
          <w:rFonts w:ascii="Arial" w:hAnsi="Arial" w:hint="cs"/>
          <w:noProof w:val="0"/>
          <w:rtl/>
        </w:rPr>
        <w:t>הנתבעת פרשה מעבודה כאמור עקב קביעת המוסד לביטוח לאומי  ובשל מצבה הרפואי ביום 31.08.2014. ומקבלת מהמדינה תשלומים חודשיים שמהווים זכות לפנסיית נכות שלטענת הנתבעת אינה חלק מזכויות התובע לתשלומי איזון משאבים שנקבעו בפסק הדין ובהסתמך על חוות הדעת . לטענת הנתבעת זכותו של התובע לאיזון זכויות פנסיוניות שהתגבשו עד מועד הקרע תחול אך ורק עם הגיעה לגיל 64.</w:t>
      </w:r>
    </w:p>
    <w:p w:rsidR="006F7A7D" w:rsidRDefault="006F7A7D" w:rsidP="00D75BE6">
      <w:pPr>
        <w:spacing w:line="360" w:lineRule="auto"/>
        <w:jc w:val="both"/>
        <w:rPr>
          <w:rFonts w:ascii="Arial" w:hAnsi="Arial"/>
          <w:noProof w:val="0"/>
          <w:rtl/>
        </w:rPr>
      </w:pPr>
    </w:p>
    <w:p w:rsidR="00094281" w:rsidRDefault="00094281" w:rsidP="00D75BE6">
      <w:pPr>
        <w:spacing w:line="360" w:lineRule="auto"/>
        <w:ind w:left="567" w:hanging="567"/>
        <w:jc w:val="both"/>
        <w:rPr>
          <w:rFonts w:ascii="Arial" w:hAnsi="Arial"/>
          <w:b/>
          <w:bCs/>
          <w:noProof w:val="0"/>
          <w:sz w:val="28"/>
          <w:szCs w:val="28"/>
          <w:u w:val="double"/>
        </w:rPr>
      </w:pPr>
      <w:r>
        <w:rPr>
          <w:rFonts w:ascii="Arial" w:hAnsi="Arial"/>
          <w:b/>
          <w:bCs/>
          <w:noProof w:val="0"/>
          <w:sz w:val="28"/>
          <w:szCs w:val="28"/>
          <w:u w:val="double"/>
          <w:rtl/>
        </w:rPr>
        <w:lastRenderedPageBreak/>
        <w:t>דיון והכרעה</w:t>
      </w:r>
    </w:p>
    <w:p w:rsidR="00094281" w:rsidRPr="00955BC9" w:rsidRDefault="00094281" w:rsidP="00955BC9">
      <w:pPr>
        <w:pStyle w:val="ad"/>
        <w:numPr>
          <w:ilvl w:val="0"/>
          <w:numId w:val="1"/>
        </w:numPr>
        <w:spacing w:line="360" w:lineRule="auto"/>
        <w:jc w:val="both"/>
        <w:rPr>
          <w:rFonts w:ascii="Arial" w:hAnsi="Arial"/>
          <w:noProof w:val="0"/>
          <w:rtl/>
        </w:rPr>
      </w:pPr>
      <w:r w:rsidRPr="00955BC9">
        <w:rPr>
          <w:rFonts w:ascii="Arial" w:hAnsi="Arial"/>
          <w:noProof w:val="0"/>
          <w:rtl/>
        </w:rPr>
        <w:t xml:space="preserve">הצדדים שבפני נישאו זל"ז בשנת </w:t>
      </w:r>
      <w:r w:rsidRPr="00955BC9">
        <w:rPr>
          <w:rFonts w:ascii="Arial" w:hAnsi="Arial" w:hint="cs"/>
          <w:noProof w:val="0"/>
          <w:rtl/>
        </w:rPr>
        <w:t>1992</w:t>
      </w:r>
      <w:r w:rsidRPr="00955BC9">
        <w:rPr>
          <w:rFonts w:ascii="Arial" w:hAnsi="Arial"/>
          <w:noProof w:val="0"/>
          <w:rtl/>
        </w:rPr>
        <w:t xml:space="preserve"> ולפיכך, הם כפופים לעקרונות המשטר הרכושי הקבוע בחוק יחסי ממון, התשל"ג-1973 (להלן:  </w:t>
      </w:r>
      <w:r w:rsidRPr="00955BC9">
        <w:rPr>
          <w:rFonts w:ascii="Arial" w:hAnsi="Arial"/>
          <w:b/>
          <w:bCs/>
          <w:noProof w:val="0"/>
          <w:rtl/>
        </w:rPr>
        <w:t>'חוק יחסי ממון'</w:t>
      </w:r>
      <w:r w:rsidRPr="00955BC9">
        <w:rPr>
          <w:rFonts w:ascii="Arial" w:hAnsi="Arial"/>
          <w:noProof w:val="0"/>
          <w:rtl/>
        </w:rPr>
        <w:t>).</w:t>
      </w:r>
    </w:p>
    <w:p w:rsidR="00094281" w:rsidRDefault="00094281" w:rsidP="00D75BE6">
      <w:pPr>
        <w:spacing w:line="360" w:lineRule="auto"/>
        <w:ind w:left="567" w:hanging="567"/>
        <w:jc w:val="both"/>
        <w:rPr>
          <w:rFonts w:ascii="Arial" w:hAnsi="Arial"/>
          <w:noProof w:val="0"/>
          <w:rtl/>
        </w:rPr>
      </w:pPr>
    </w:p>
    <w:p w:rsidR="00094281" w:rsidRPr="00F81A58" w:rsidRDefault="00094281" w:rsidP="00D75BE6">
      <w:pPr>
        <w:spacing w:line="360" w:lineRule="auto"/>
        <w:ind w:left="567" w:hanging="567"/>
        <w:jc w:val="both"/>
        <w:rPr>
          <w:rFonts w:ascii="Arial" w:hAnsi="Arial"/>
          <w:noProof w:val="0"/>
          <w:rtl/>
        </w:rPr>
      </w:pPr>
      <w:r>
        <w:rPr>
          <w:rFonts w:ascii="Arial" w:hAnsi="Arial"/>
          <w:noProof w:val="0"/>
          <w:rtl/>
        </w:rPr>
        <w:tab/>
        <w:t xml:space="preserve">חוק יחסי ממון קובע משטר של איזון משאבים בין בני-זוג, כך שבמועד פקיעת הנישואין זכאי כל אחד מבני הזוג למחצית </w:t>
      </w:r>
      <w:r w:rsidR="00262A55">
        <w:rPr>
          <w:rFonts w:ascii="Arial" w:hAnsi="Arial" w:hint="cs"/>
          <w:noProof w:val="0"/>
          <w:rtl/>
        </w:rPr>
        <w:t>שווים</w:t>
      </w:r>
      <w:r>
        <w:rPr>
          <w:rFonts w:ascii="Arial" w:hAnsi="Arial"/>
          <w:noProof w:val="0"/>
          <w:rtl/>
        </w:rPr>
        <w:t xml:space="preserve"> של כל נכסי בני הזוג, למעט החריגים המנויים בחוק ובהתאם לקבוע בסעיף 5 לחוק יחסי ממון.</w:t>
      </w:r>
    </w:p>
    <w:p w:rsidR="00094281" w:rsidRDefault="00094281" w:rsidP="00D75BE6">
      <w:pPr>
        <w:spacing w:line="360" w:lineRule="auto"/>
        <w:ind w:left="567" w:hanging="567"/>
        <w:jc w:val="both"/>
        <w:rPr>
          <w:rFonts w:ascii="Arial" w:hAnsi="Arial"/>
          <w:b/>
          <w:noProof w:val="0"/>
          <w:rtl/>
        </w:rPr>
      </w:pPr>
    </w:p>
    <w:p w:rsidR="00955BC9" w:rsidRDefault="00094281" w:rsidP="00955BC9">
      <w:pPr>
        <w:spacing w:line="360" w:lineRule="auto"/>
        <w:ind w:left="567" w:hanging="567"/>
        <w:jc w:val="both"/>
        <w:rPr>
          <w:rFonts w:ascii="Arial" w:hAnsi="Arial"/>
          <w:bCs/>
          <w:noProof w:val="0"/>
          <w:sz w:val="26"/>
          <w:szCs w:val="26"/>
          <w:u w:val="double"/>
          <w:rtl/>
        </w:rPr>
      </w:pPr>
      <w:r>
        <w:rPr>
          <w:rFonts w:ascii="Arial" w:hAnsi="Arial"/>
          <w:bCs/>
          <w:noProof w:val="0"/>
          <w:sz w:val="26"/>
          <w:szCs w:val="26"/>
          <w:u w:val="double"/>
          <w:rtl/>
        </w:rPr>
        <w:t>פנסיה רפואית של האיש</w:t>
      </w:r>
      <w:r>
        <w:rPr>
          <w:rFonts w:ascii="Arial" w:hAnsi="Arial" w:hint="cs"/>
          <w:bCs/>
          <w:noProof w:val="0"/>
          <w:sz w:val="26"/>
          <w:szCs w:val="26"/>
          <w:u w:val="double"/>
          <w:rtl/>
        </w:rPr>
        <w:t>ה</w:t>
      </w:r>
    </w:p>
    <w:p w:rsidR="00955BC9" w:rsidRDefault="00955BC9" w:rsidP="00955BC9">
      <w:pPr>
        <w:spacing w:line="360" w:lineRule="auto"/>
        <w:ind w:left="567" w:hanging="567"/>
        <w:jc w:val="both"/>
        <w:rPr>
          <w:rFonts w:ascii="Arial" w:hAnsi="Arial"/>
          <w:bCs/>
          <w:noProof w:val="0"/>
          <w:sz w:val="26"/>
          <w:szCs w:val="26"/>
          <w:u w:val="double"/>
          <w:rtl/>
        </w:rPr>
      </w:pPr>
    </w:p>
    <w:p w:rsidR="00955BC9" w:rsidRPr="00955BC9" w:rsidRDefault="00094281" w:rsidP="00955BC9">
      <w:pPr>
        <w:pStyle w:val="ad"/>
        <w:numPr>
          <w:ilvl w:val="0"/>
          <w:numId w:val="1"/>
        </w:numPr>
        <w:spacing w:line="360" w:lineRule="auto"/>
        <w:jc w:val="both"/>
        <w:rPr>
          <w:rFonts w:ascii="Arial" w:hAnsi="Arial"/>
          <w:bCs/>
          <w:noProof w:val="0"/>
          <w:sz w:val="26"/>
          <w:szCs w:val="26"/>
          <w:u w:val="double"/>
        </w:rPr>
      </w:pPr>
      <w:r w:rsidRPr="00955BC9">
        <w:rPr>
          <w:rFonts w:ascii="Arial" w:hAnsi="Arial"/>
          <w:b/>
          <w:noProof w:val="0"/>
          <w:rtl/>
        </w:rPr>
        <w:t>סעיף 5 לחוק יחסי ממון קובע כי בעת התרת הנישואין או פקיעתם, זכאי כל אחד מבני הזוג למחצית שווים של כלל נכסי בני הזוג, אשר נצברו במהלך שנות הנישואין,  ולמעט החריגים המפורטים בסעיף 5(א)(1-3) והם נכסים שהיו לצדדים ערב הנישואי</w:t>
      </w:r>
      <w:r w:rsidR="00262A55">
        <w:rPr>
          <w:rFonts w:ascii="Arial" w:hAnsi="Arial"/>
          <w:b/>
          <w:noProof w:val="0"/>
          <w:rtl/>
        </w:rPr>
        <w:t>ן, או שהתקבלו במתנה או ירושה; ג</w:t>
      </w:r>
      <w:r w:rsidRPr="00955BC9">
        <w:rPr>
          <w:rFonts w:ascii="Arial" w:hAnsi="Arial"/>
          <w:b/>
          <w:noProof w:val="0"/>
          <w:rtl/>
        </w:rPr>
        <w:t>מלה או פיצוי אחרים המתקבלים עקב נזק גוף או מוות; וכן נכסים שהוסכם בכתב בין בני הזוג ששוויים לא יאוזן.</w:t>
      </w:r>
    </w:p>
    <w:p w:rsidR="00955BC9" w:rsidRDefault="00955BC9" w:rsidP="00955BC9">
      <w:pPr>
        <w:pStyle w:val="ad"/>
        <w:spacing w:line="360" w:lineRule="auto"/>
        <w:jc w:val="both"/>
        <w:rPr>
          <w:rFonts w:ascii="Arial" w:hAnsi="Arial"/>
          <w:b/>
          <w:noProof w:val="0"/>
          <w:rtl/>
        </w:rPr>
      </w:pPr>
    </w:p>
    <w:p w:rsidR="00094281" w:rsidRPr="00955BC9" w:rsidRDefault="00094281" w:rsidP="00955BC9">
      <w:pPr>
        <w:pStyle w:val="ad"/>
        <w:spacing w:line="360" w:lineRule="auto"/>
        <w:jc w:val="both"/>
        <w:rPr>
          <w:rFonts w:ascii="Arial" w:hAnsi="Arial"/>
          <w:bCs/>
          <w:noProof w:val="0"/>
          <w:sz w:val="26"/>
          <w:szCs w:val="26"/>
          <w:u w:val="double"/>
          <w:rtl/>
        </w:rPr>
      </w:pPr>
      <w:r w:rsidRPr="00955BC9">
        <w:rPr>
          <w:rFonts w:ascii="Arial" w:hAnsi="Arial"/>
          <w:b/>
          <w:noProof w:val="0"/>
          <w:rtl/>
        </w:rPr>
        <w:t>החריג הקבוע בסעיף 5(א)(2) הוא המתייחס ל</w:t>
      </w:r>
      <w:r w:rsidRPr="00955BC9">
        <w:rPr>
          <w:rFonts w:ascii="Arial" w:hAnsi="Arial"/>
          <w:bCs/>
          <w:noProof w:val="0"/>
          <w:rtl/>
        </w:rPr>
        <w:t>'גימל</w:t>
      </w:r>
      <w:r w:rsidR="00955BC9" w:rsidRPr="00955BC9">
        <w:rPr>
          <w:rFonts w:ascii="Arial" w:hAnsi="Arial"/>
          <w:bCs/>
          <w:noProof w:val="0"/>
          <w:rtl/>
        </w:rPr>
        <w:t>ה המשתלמת לאחד מבני הזוג על-ידי</w:t>
      </w:r>
      <w:r w:rsidR="00955BC9" w:rsidRPr="00955BC9">
        <w:rPr>
          <w:rFonts w:ascii="Arial" w:hAnsi="Arial" w:hint="cs"/>
          <w:bCs/>
          <w:noProof w:val="0"/>
          <w:rtl/>
        </w:rPr>
        <w:t xml:space="preserve"> </w:t>
      </w:r>
      <w:r w:rsidRPr="00955BC9">
        <w:rPr>
          <w:rFonts w:ascii="Arial" w:hAnsi="Arial"/>
          <w:bCs/>
          <w:noProof w:val="0"/>
          <w:rtl/>
        </w:rPr>
        <w:t xml:space="preserve">המוסד לביטוח לאומי, או גימלה או פיצוי שנפסקו או המגיעים על פי חיקוק לאחד מבני-הזוג בשל נזק גוף, או מוות'.  </w:t>
      </w:r>
    </w:p>
    <w:p w:rsidR="00094281" w:rsidRDefault="00094281" w:rsidP="00D75BE6">
      <w:pPr>
        <w:tabs>
          <w:tab w:val="left" w:pos="567"/>
        </w:tabs>
        <w:spacing w:line="360" w:lineRule="auto"/>
        <w:ind w:left="1134" w:hanging="1134"/>
        <w:jc w:val="both"/>
        <w:rPr>
          <w:rFonts w:ascii="Arial" w:hAnsi="Arial"/>
          <w:bCs/>
          <w:noProof w:val="0"/>
          <w:rtl/>
        </w:rPr>
      </w:pPr>
    </w:p>
    <w:p w:rsidR="00955BC9" w:rsidRDefault="00094281" w:rsidP="00955BC9">
      <w:pPr>
        <w:pStyle w:val="ad"/>
        <w:numPr>
          <w:ilvl w:val="0"/>
          <w:numId w:val="1"/>
        </w:numPr>
        <w:spacing w:line="360" w:lineRule="auto"/>
        <w:jc w:val="both"/>
        <w:rPr>
          <w:rFonts w:ascii="Arial" w:hAnsi="Arial"/>
          <w:noProof w:val="0"/>
        </w:rPr>
      </w:pPr>
      <w:r w:rsidRPr="00955BC9">
        <w:rPr>
          <w:rFonts w:ascii="Arial" w:hAnsi="Arial"/>
          <w:noProof w:val="0"/>
          <w:rtl/>
        </w:rPr>
        <w:t>ככלל, זכויות פנסיה שצבר בן-זוג בעבודתו במהלך חיי הנישואין הינן נכסים בני-איזון.</w:t>
      </w:r>
    </w:p>
    <w:p w:rsidR="00955BC9" w:rsidRDefault="00955BC9" w:rsidP="00955BC9">
      <w:pPr>
        <w:pStyle w:val="ad"/>
        <w:spacing w:line="360" w:lineRule="auto"/>
        <w:jc w:val="both"/>
        <w:rPr>
          <w:rFonts w:ascii="Arial" w:hAnsi="Arial"/>
          <w:noProof w:val="0"/>
        </w:rPr>
      </w:pPr>
    </w:p>
    <w:p w:rsidR="00955BC9" w:rsidRPr="00955BC9" w:rsidRDefault="00094281" w:rsidP="00955BC9">
      <w:pPr>
        <w:pStyle w:val="ad"/>
        <w:numPr>
          <w:ilvl w:val="0"/>
          <w:numId w:val="1"/>
        </w:numPr>
        <w:spacing w:line="360" w:lineRule="auto"/>
        <w:jc w:val="both"/>
        <w:rPr>
          <w:rFonts w:ascii="Arial" w:hAnsi="Arial"/>
          <w:noProof w:val="0"/>
        </w:rPr>
      </w:pPr>
      <w:r w:rsidRPr="00955BC9">
        <w:rPr>
          <w:rFonts w:ascii="Arial" w:hAnsi="Arial"/>
          <w:b/>
          <w:noProof w:val="0"/>
          <w:rtl/>
        </w:rPr>
        <w:t>האיש</w:t>
      </w:r>
      <w:r w:rsidR="00F81A58" w:rsidRPr="00955BC9">
        <w:rPr>
          <w:rFonts w:ascii="Arial" w:hAnsi="Arial" w:hint="cs"/>
          <w:b/>
          <w:noProof w:val="0"/>
          <w:rtl/>
        </w:rPr>
        <w:t>ה</w:t>
      </w:r>
      <w:r w:rsidR="00F81A58" w:rsidRPr="00955BC9">
        <w:rPr>
          <w:rFonts w:ascii="Arial" w:hAnsi="Arial"/>
          <w:b/>
          <w:noProof w:val="0"/>
          <w:rtl/>
        </w:rPr>
        <w:t xml:space="preserve"> טוע</w:t>
      </w:r>
      <w:r w:rsidR="00F81A58" w:rsidRPr="00955BC9">
        <w:rPr>
          <w:rFonts w:ascii="Arial" w:hAnsi="Arial" w:hint="cs"/>
          <w:b/>
          <w:noProof w:val="0"/>
          <w:rtl/>
        </w:rPr>
        <w:t>נת</w:t>
      </w:r>
      <w:r w:rsidRPr="00955BC9">
        <w:rPr>
          <w:rFonts w:ascii="Arial" w:hAnsi="Arial"/>
          <w:b/>
          <w:noProof w:val="0"/>
          <w:rtl/>
        </w:rPr>
        <w:t xml:space="preserve"> כי קודם לגיל פרישה, בחודש </w:t>
      </w:r>
      <w:r w:rsidR="00F81A58" w:rsidRPr="00955BC9">
        <w:rPr>
          <w:rFonts w:ascii="Arial" w:hAnsi="Arial" w:hint="cs"/>
          <w:b/>
          <w:noProof w:val="0"/>
          <w:rtl/>
        </w:rPr>
        <w:t>08 בשנת</w:t>
      </w:r>
      <w:r w:rsidRPr="00955BC9">
        <w:rPr>
          <w:rFonts w:ascii="Arial" w:hAnsi="Arial"/>
          <w:b/>
          <w:noProof w:val="0"/>
          <w:rtl/>
        </w:rPr>
        <w:t xml:space="preserve"> </w:t>
      </w:r>
      <w:r w:rsidR="00F81A58" w:rsidRPr="00955BC9">
        <w:rPr>
          <w:rFonts w:ascii="Arial" w:hAnsi="Arial" w:hint="cs"/>
          <w:b/>
          <w:noProof w:val="0"/>
          <w:rtl/>
        </w:rPr>
        <w:t>2014</w:t>
      </w:r>
      <w:r w:rsidRPr="00955BC9">
        <w:rPr>
          <w:rFonts w:ascii="Arial" w:hAnsi="Arial"/>
          <w:b/>
          <w:noProof w:val="0"/>
          <w:rtl/>
        </w:rPr>
        <w:t>, יצא</w:t>
      </w:r>
      <w:r w:rsidR="00F81A58" w:rsidRPr="00955BC9">
        <w:rPr>
          <w:rFonts w:ascii="Arial" w:hAnsi="Arial" w:hint="cs"/>
          <w:b/>
          <w:noProof w:val="0"/>
          <w:rtl/>
        </w:rPr>
        <w:t>ה</w:t>
      </w:r>
      <w:r w:rsidRPr="00955BC9">
        <w:rPr>
          <w:rFonts w:ascii="Arial" w:hAnsi="Arial"/>
          <w:b/>
          <w:noProof w:val="0"/>
          <w:rtl/>
        </w:rPr>
        <w:t xml:space="preserve"> לפנסיה רפואית וכי לאחר ש</w:t>
      </w:r>
      <w:r w:rsidR="00F81A58" w:rsidRPr="00955BC9">
        <w:rPr>
          <w:rFonts w:ascii="Arial" w:hAnsi="Arial" w:hint="cs"/>
          <w:b/>
          <w:noProof w:val="0"/>
          <w:rtl/>
        </w:rPr>
        <w:t>ת</w:t>
      </w:r>
      <w:r w:rsidRPr="00955BC9">
        <w:rPr>
          <w:rFonts w:ascii="Arial" w:hAnsi="Arial"/>
          <w:b/>
          <w:noProof w:val="0"/>
          <w:rtl/>
        </w:rPr>
        <w:t xml:space="preserve">גיע לגיל </w:t>
      </w:r>
      <w:r w:rsidR="00F81A58" w:rsidRPr="00955BC9">
        <w:rPr>
          <w:rFonts w:ascii="Arial" w:hAnsi="Arial" w:hint="cs"/>
          <w:b/>
          <w:noProof w:val="0"/>
          <w:rtl/>
        </w:rPr>
        <w:t>64</w:t>
      </w:r>
      <w:r w:rsidRPr="00955BC9">
        <w:rPr>
          <w:rFonts w:ascii="Arial" w:hAnsi="Arial"/>
          <w:b/>
          <w:noProof w:val="0"/>
          <w:rtl/>
        </w:rPr>
        <w:t xml:space="preserve"> שנה </w:t>
      </w:r>
      <w:r w:rsidR="00F81A58" w:rsidRPr="00955BC9">
        <w:rPr>
          <w:rFonts w:ascii="Arial" w:hAnsi="Arial" w:hint="cs"/>
          <w:b/>
          <w:noProof w:val="0"/>
          <w:rtl/>
        </w:rPr>
        <w:t>ת</w:t>
      </w:r>
      <w:r w:rsidRPr="00955BC9">
        <w:rPr>
          <w:rFonts w:ascii="Arial" w:hAnsi="Arial"/>
          <w:b/>
          <w:noProof w:val="0"/>
          <w:rtl/>
        </w:rPr>
        <w:t xml:space="preserve">קבל פנסיה רגילה – סעיף </w:t>
      </w:r>
      <w:r w:rsidR="00F81A58" w:rsidRPr="00955BC9">
        <w:rPr>
          <w:rFonts w:ascii="Arial" w:hAnsi="Arial" w:hint="cs"/>
          <w:b/>
          <w:noProof w:val="0"/>
          <w:rtl/>
        </w:rPr>
        <w:t>18-20</w:t>
      </w:r>
      <w:r w:rsidRPr="00955BC9">
        <w:rPr>
          <w:rFonts w:ascii="Arial" w:hAnsi="Arial"/>
          <w:b/>
          <w:noProof w:val="0"/>
          <w:rtl/>
        </w:rPr>
        <w:t xml:space="preserve"> לתצהיר עדות ראשית של האיש</w:t>
      </w:r>
      <w:r w:rsidR="00F81A58" w:rsidRPr="00955BC9">
        <w:rPr>
          <w:rFonts w:ascii="Arial" w:hAnsi="Arial" w:hint="cs"/>
          <w:b/>
          <w:noProof w:val="0"/>
          <w:rtl/>
        </w:rPr>
        <w:t>ה</w:t>
      </w:r>
      <w:r w:rsidRPr="00955BC9">
        <w:rPr>
          <w:rFonts w:ascii="Arial" w:hAnsi="Arial"/>
          <w:b/>
          <w:noProof w:val="0"/>
          <w:rtl/>
        </w:rPr>
        <w:t>.</w:t>
      </w:r>
    </w:p>
    <w:p w:rsidR="00955BC9" w:rsidRPr="00955BC9" w:rsidRDefault="00955BC9" w:rsidP="00955BC9">
      <w:pPr>
        <w:pStyle w:val="ad"/>
        <w:rPr>
          <w:rFonts w:ascii="Arial" w:hAnsi="Arial"/>
          <w:b/>
          <w:noProof w:val="0"/>
          <w:rtl/>
        </w:rPr>
      </w:pPr>
    </w:p>
    <w:p w:rsidR="00955BC9" w:rsidRPr="00955BC9" w:rsidRDefault="00DA05D9" w:rsidP="00955BC9">
      <w:pPr>
        <w:pStyle w:val="ad"/>
        <w:numPr>
          <w:ilvl w:val="0"/>
          <w:numId w:val="1"/>
        </w:numPr>
        <w:spacing w:line="360" w:lineRule="auto"/>
        <w:jc w:val="both"/>
        <w:rPr>
          <w:rFonts w:ascii="Arial" w:hAnsi="Arial"/>
          <w:noProof w:val="0"/>
        </w:rPr>
      </w:pPr>
      <w:r w:rsidRPr="00955BC9">
        <w:rPr>
          <w:rFonts w:ascii="Arial" w:hAnsi="Arial" w:hint="cs"/>
          <w:b/>
          <w:noProof w:val="0"/>
          <w:rtl/>
        </w:rPr>
        <w:t>לטענת האישה התובע ידע אודות התפתחויות בעניין מצבה הרפואי ויציאתה לפנסיה רפואית וכי המידע לא הוסתר מעיניו וכי הם קבעו בהסכם כמו גם בחוות הדעת האקטוארית כי המועד הנו כאמור בס' ג שלעיל.</w:t>
      </w:r>
    </w:p>
    <w:p w:rsidR="00955BC9" w:rsidRPr="00955BC9" w:rsidRDefault="00955BC9" w:rsidP="00955BC9">
      <w:pPr>
        <w:pStyle w:val="ad"/>
        <w:rPr>
          <w:rFonts w:ascii="Arial" w:hAnsi="Arial"/>
          <w:b/>
          <w:noProof w:val="0"/>
          <w:rtl/>
        </w:rPr>
      </w:pPr>
    </w:p>
    <w:p w:rsidR="00955BC9" w:rsidRPr="00955BC9" w:rsidRDefault="00094281" w:rsidP="00955BC9">
      <w:pPr>
        <w:pStyle w:val="ad"/>
        <w:numPr>
          <w:ilvl w:val="0"/>
          <w:numId w:val="1"/>
        </w:numPr>
        <w:spacing w:line="360" w:lineRule="auto"/>
        <w:jc w:val="both"/>
        <w:rPr>
          <w:rFonts w:ascii="Arial" w:hAnsi="Arial"/>
          <w:noProof w:val="0"/>
        </w:rPr>
      </w:pPr>
      <w:r w:rsidRPr="00955BC9">
        <w:rPr>
          <w:rFonts w:ascii="Arial" w:hAnsi="Arial"/>
          <w:b/>
          <w:noProof w:val="0"/>
          <w:rtl/>
        </w:rPr>
        <w:t xml:space="preserve">בעמ"ש (ב"ש) 46860-11-15 </w:t>
      </w:r>
      <w:r w:rsidRPr="00955BC9">
        <w:rPr>
          <w:rFonts w:ascii="Arial" w:hAnsi="Arial"/>
          <w:bCs/>
          <w:noProof w:val="0"/>
          <w:rtl/>
        </w:rPr>
        <w:t xml:space="preserve">ד.כ. נ' צ.כ </w:t>
      </w:r>
      <w:r w:rsidRPr="00955BC9">
        <w:rPr>
          <w:rFonts w:ascii="Arial" w:hAnsi="Arial"/>
          <w:b/>
          <w:noProof w:val="0"/>
          <w:rtl/>
        </w:rPr>
        <w:t>(פורסם במאגרים האלקטרוניים), נקבע ביחס ליציאה מוקדמת לפנסיה מחמת מצב בריאותי לקוי, כי החוק לחלוקת חסכון פנסיוני שינה את ההסדר שהיה קיים קודם לכן וקבע בסעיף 14(ב)(2), כי בכל הנוגע לפנסיה תקציבית – בן הזוג לא יהא זכאי לחלק מהפנסיה של החוסך במקרה בו יצא לפנסיה מוקדמת מטעמי מצב בריאותי.</w:t>
      </w:r>
    </w:p>
    <w:p w:rsidR="00955BC9" w:rsidRPr="00955BC9" w:rsidRDefault="00955BC9" w:rsidP="00955BC9">
      <w:pPr>
        <w:pStyle w:val="ad"/>
        <w:rPr>
          <w:rFonts w:ascii="Arial" w:hAnsi="Arial"/>
          <w:b/>
          <w:noProof w:val="0"/>
          <w:rtl/>
        </w:rPr>
      </w:pPr>
    </w:p>
    <w:p w:rsidR="00955BC9" w:rsidRDefault="00094281" w:rsidP="00955BC9">
      <w:pPr>
        <w:pStyle w:val="ad"/>
        <w:spacing w:line="360" w:lineRule="auto"/>
        <w:jc w:val="both"/>
        <w:rPr>
          <w:rFonts w:ascii="Arial" w:hAnsi="Arial"/>
          <w:b/>
          <w:noProof w:val="0"/>
          <w:rtl/>
        </w:rPr>
      </w:pPr>
      <w:r w:rsidRPr="00955BC9">
        <w:rPr>
          <w:rFonts w:ascii="Arial" w:hAnsi="Arial"/>
          <w:b/>
          <w:noProof w:val="0"/>
          <w:rtl/>
        </w:rPr>
        <w:t xml:space="preserve">לא כך ביחס ליציאה לפנסיה מוקדמת בנסיבות אחרות, שם נקבע כי במצב של פרישה מוקדמת, שאינה נובעת מסיבות בריאותיות, נשאר על כנו המצב הקודם, לפיו בן-הזוג של החוסך זכאי לחלק מקצבת הפנסיה החל מיום </w:t>
      </w:r>
      <w:r w:rsidR="00DA74F7">
        <w:rPr>
          <w:rFonts w:ascii="Arial" w:hAnsi="Arial"/>
          <w:b/>
          <w:noProof w:val="0"/>
          <w:rtl/>
        </w:rPr>
        <w:t xml:space="preserve">הפרישה, ולא רק החל מגיל הפנסיה </w:t>
      </w:r>
      <w:r w:rsidRPr="00955BC9">
        <w:rPr>
          <w:rFonts w:ascii="Arial" w:hAnsi="Arial"/>
          <w:b/>
          <w:noProof w:val="0"/>
          <w:rtl/>
        </w:rPr>
        <w:t>הקבוע בחוק.</w:t>
      </w:r>
    </w:p>
    <w:p w:rsidR="00955BC9" w:rsidRDefault="00955BC9" w:rsidP="00955BC9">
      <w:pPr>
        <w:pStyle w:val="ad"/>
        <w:spacing w:line="360" w:lineRule="auto"/>
        <w:jc w:val="both"/>
        <w:rPr>
          <w:rFonts w:ascii="Arial" w:hAnsi="Arial"/>
          <w:b/>
          <w:noProof w:val="0"/>
          <w:rtl/>
        </w:rPr>
      </w:pPr>
    </w:p>
    <w:p w:rsidR="00094281" w:rsidRPr="00955BC9" w:rsidRDefault="00094281" w:rsidP="00955BC9">
      <w:pPr>
        <w:pStyle w:val="ad"/>
        <w:spacing w:line="360" w:lineRule="auto"/>
        <w:jc w:val="both"/>
        <w:rPr>
          <w:rFonts w:ascii="Arial" w:hAnsi="Arial"/>
          <w:noProof w:val="0"/>
          <w:rtl/>
        </w:rPr>
      </w:pPr>
      <w:r w:rsidRPr="00DA05D9">
        <w:rPr>
          <w:rFonts w:ascii="Arial" w:hAnsi="Arial"/>
          <w:b/>
          <w:noProof w:val="0"/>
          <w:rtl/>
        </w:rPr>
        <w:t>עוד נקבע בפסק-הדין הנ"ל, כי הוראותיו המהותיות של החוק לחלוקת חסכון פנסיוני הינן הוראות מחייבות, ובית המשפט אינו יכול לסטות מהן ללא הסכמת שני בני-הזוג.</w:t>
      </w:r>
    </w:p>
    <w:p w:rsidR="00C92657" w:rsidRDefault="00C92657" w:rsidP="00D75BE6">
      <w:pPr>
        <w:spacing w:line="360" w:lineRule="auto"/>
        <w:ind w:left="1134" w:hanging="567"/>
        <w:jc w:val="both"/>
        <w:rPr>
          <w:rFonts w:ascii="Arial" w:hAnsi="Arial"/>
          <w:b/>
          <w:noProof w:val="0"/>
          <w:rtl/>
        </w:rPr>
      </w:pPr>
    </w:p>
    <w:p w:rsidR="00C92657" w:rsidRPr="00955BC9" w:rsidRDefault="00DA74F7" w:rsidP="00955BC9">
      <w:pPr>
        <w:pStyle w:val="ad"/>
        <w:numPr>
          <w:ilvl w:val="0"/>
          <w:numId w:val="1"/>
        </w:numPr>
        <w:spacing w:line="360" w:lineRule="auto"/>
        <w:jc w:val="both"/>
        <w:rPr>
          <w:rFonts w:ascii="Arial" w:hAnsi="Arial"/>
          <w:b/>
          <w:noProof w:val="0"/>
          <w:rtl/>
        </w:rPr>
      </w:pPr>
      <w:r>
        <w:rPr>
          <w:rFonts w:ascii="Arial" w:hAnsi="Arial" w:hint="cs"/>
          <w:b/>
          <w:noProof w:val="0"/>
          <w:rtl/>
        </w:rPr>
        <w:t>על העמ"ש ה</w:t>
      </w:r>
      <w:r w:rsidR="00C92657" w:rsidRPr="00955BC9">
        <w:rPr>
          <w:rFonts w:ascii="Arial" w:hAnsi="Arial" w:hint="cs"/>
          <w:b/>
          <w:noProof w:val="0"/>
          <w:rtl/>
        </w:rPr>
        <w:t>אמור הוגש ערעור ל</w:t>
      </w:r>
      <w:r>
        <w:rPr>
          <w:rFonts w:ascii="Arial" w:hAnsi="Arial" w:hint="cs"/>
          <w:b/>
          <w:noProof w:val="0"/>
          <w:rtl/>
        </w:rPr>
        <w:t>בית המשפט ה</w:t>
      </w:r>
      <w:r w:rsidR="00C92657" w:rsidRPr="00955BC9">
        <w:rPr>
          <w:rFonts w:ascii="Arial" w:hAnsi="Arial" w:hint="cs"/>
          <w:b/>
          <w:noProof w:val="0"/>
          <w:rtl/>
        </w:rPr>
        <w:t xml:space="preserve">עליון בבע"מ 4860/16 שם נדונה עניינה של פרשנות החוק לחלוקת חסכון פנסיוני בין בני זוג שנפרדו תשע"ד </w:t>
      </w:r>
      <w:r w:rsidR="00C92657" w:rsidRPr="00955BC9">
        <w:rPr>
          <w:rFonts w:ascii="Arial" w:hAnsi="Arial"/>
          <w:b/>
          <w:noProof w:val="0"/>
          <w:rtl/>
        </w:rPr>
        <w:t>–</w:t>
      </w:r>
      <w:r w:rsidR="00C92657" w:rsidRPr="00955BC9">
        <w:rPr>
          <w:rFonts w:ascii="Arial" w:hAnsi="Arial" w:hint="cs"/>
          <w:b/>
          <w:noProof w:val="0"/>
          <w:rtl/>
        </w:rPr>
        <w:t xml:space="preserve"> 2014 ובפרט על שאלת השפעתו על דיני השיתוף המהותיים בכל הנוגע לקביעת איזון הזכויות הפנסיוניות בין בני זוג שנפרדו. במסגרת פסק הדין עלה בין היתר ניתוח לעניין ס' 14(ב)(2) לחוק שעסק בעניין של פרישה מוקדמת מסיבות בריאותיות כשאלה האם היא ברת איזון כפי ההלכה הנו</w:t>
      </w:r>
      <w:r w:rsidR="00C44887">
        <w:rPr>
          <w:rFonts w:ascii="Arial" w:hAnsi="Arial" w:hint="cs"/>
          <w:b/>
          <w:noProof w:val="0"/>
          <w:rtl/>
        </w:rPr>
        <w:t>ה</w:t>
      </w:r>
      <w:r w:rsidR="00C92657" w:rsidRPr="00955BC9">
        <w:rPr>
          <w:rFonts w:ascii="Arial" w:hAnsi="Arial" w:hint="cs"/>
          <w:b/>
          <w:noProof w:val="0"/>
          <w:rtl/>
        </w:rPr>
        <w:t>גת בטרם חקיקת החוק הפנסיוני או שמא החוק הפנסיוני דינה את הדין המהותי בכך שפנסיה מוקדמת מחמת מצב בריאותי אינה ברת איזון.</w:t>
      </w:r>
    </w:p>
    <w:p w:rsidR="00C92657" w:rsidRDefault="00C92657" w:rsidP="00D75BE6">
      <w:pPr>
        <w:spacing w:line="360" w:lineRule="auto"/>
        <w:ind w:left="1134" w:hanging="567"/>
        <w:jc w:val="both"/>
        <w:rPr>
          <w:rFonts w:ascii="Arial" w:hAnsi="Arial"/>
          <w:b/>
          <w:noProof w:val="0"/>
          <w:rtl/>
        </w:rPr>
      </w:pPr>
    </w:p>
    <w:p w:rsidR="00836AAE" w:rsidRPr="00955BC9" w:rsidRDefault="00C92657" w:rsidP="00955BC9">
      <w:pPr>
        <w:pStyle w:val="ad"/>
        <w:numPr>
          <w:ilvl w:val="0"/>
          <w:numId w:val="1"/>
        </w:numPr>
        <w:spacing w:line="360" w:lineRule="auto"/>
        <w:jc w:val="both"/>
        <w:rPr>
          <w:rFonts w:ascii="David" w:hAnsi="David"/>
          <w:color w:val="000000"/>
        </w:rPr>
      </w:pPr>
      <w:r w:rsidRPr="00955BC9">
        <w:rPr>
          <w:rFonts w:ascii="David" w:hAnsi="David"/>
          <w:color w:val="000000"/>
          <w:rtl/>
        </w:rPr>
        <w:t>במסגרת בע"</w:t>
      </w:r>
      <w:r w:rsidR="00255387" w:rsidRPr="00955BC9">
        <w:rPr>
          <w:rFonts w:ascii="David" w:hAnsi="David"/>
          <w:color w:val="000000"/>
          <w:rtl/>
        </w:rPr>
        <w:t xml:space="preserve">מ 4860/16 </w:t>
      </w:r>
      <w:r w:rsidR="00255387" w:rsidRPr="00955BC9">
        <w:rPr>
          <w:rFonts w:ascii="David" w:hAnsi="David" w:hint="cs"/>
          <w:color w:val="000000"/>
          <w:rtl/>
        </w:rPr>
        <w:t xml:space="preserve">השופט הנדל בפס"ד ניתח את הסוגיה כדלקמן: </w:t>
      </w:r>
    </w:p>
    <w:p w:rsidR="00836AAE" w:rsidRDefault="00836AAE" w:rsidP="00D75BE6">
      <w:pPr>
        <w:spacing w:line="360" w:lineRule="auto"/>
        <w:ind w:left="1134" w:hanging="414"/>
        <w:jc w:val="both"/>
        <w:rPr>
          <w:rFonts w:ascii="David" w:hAnsi="David"/>
          <w:color w:val="000000"/>
        </w:rPr>
      </w:pPr>
    </w:p>
    <w:p w:rsidR="0093576F" w:rsidRPr="00255387" w:rsidRDefault="00CB6967" w:rsidP="00D75BE6">
      <w:pPr>
        <w:spacing w:line="360" w:lineRule="auto"/>
        <w:ind w:left="1134"/>
        <w:jc w:val="both"/>
        <w:rPr>
          <w:rFonts w:ascii="David" w:hAnsi="David"/>
          <w:color w:val="000000"/>
        </w:rPr>
      </w:pPr>
      <w:r>
        <w:rPr>
          <w:rFonts w:ascii="David" w:hAnsi="David"/>
          <w:color w:val="000000"/>
        </w:rPr>
        <w:t>"</w:t>
      </w:r>
      <w:r w:rsidR="0093576F" w:rsidRPr="00255387">
        <w:rPr>
          <w:rFonts w:ascii="David" w:hAnsi="David"/>
          <w:color w:val="000000"/>
          <w:rtl/>
        </w:rPr>
        <w:t>השאלה הניצבת לפתחנו היא פרשנות החוק לחלוקת חיסכון פנסיוני בין בני זוג שנפרדו, התשע"ד-2014 (להלן: החוק), ובפרט שאלת השפעת החוק על דיני השיתוף המהותיים בכל הנוגע לקביעת איזון הזכויות הפנסיוניות בין בני הזוג שנפרדו</w:t>
      </w:r>
      <w:r w:rsidR="0093576F" w:rsidRPr="00255387">
        <w:rPr>
          <w:rFonts w:ascii="David" w:hAnsi="David"/>
          <w:color w:val="000000"/>
        </w:rPr>
        <w:t>.</w:t>
      </w:r>
    </w:p>
    <w:p w:rsidR="0093576F" w:rsidRPr="00255387" w:rsidRDefault="0093576F" w:rsidP="00224D70">
      <w:pPr>
        <w:pStyle w:val="NormalWeb"/>
        <w:bidi/>
        <w:spacing w:before="0" w:beforeAutospacing="0" w:after="285" w:afterAutospacing="0" w:line="360" w:lineRule="auto"/>
        <w:ind w:left="1134"/>
        <w:jc w:val="both"/>
        <w:rPr>
          <w:rFonts w:ascii="David" w:hAnsi="David" w:cs="David"/>
          <w:color w:val="000000"/>
        </w:rPr>
      </w:pPr>
      <w:r w:rsidRPr="00255387">
        <w:rPr>
          <w:rFonts w:ascii="David" w:hAnsi="David" w:cs="David"/>
          <w:color w:val="000000"/>
          <w:rtl/>
        </w:rPr>
        <w:t xml:space="preserve">בנסיבות העניין, דעתי כדעת חברי, המשנה לנשיאה (בדימ') א' </w:t>
      </w:r>
      <w:r w:rsidR="00224D70">
        <w:rPr>
          <w:rFonts w:ascii="David" w:hAnsi="David" w:cs="David" w:hint="cs"/>
          <w:color w:val="000000"/>
          <w:rtl/>
        </w:rPr>
        <w:t>רובינשטיין</w:t>
      </w:r>
      <w:r w:rsidR="00F76DD9">
        <w:rPr>
          <w:rFonts w:ascii="David" w:hAnsi="David" w:cs="David" w:hint="cs"/>
          <w:color w:val="000000"/>
          <w:rtl/>
        </w:rPr>
        <w:t xml:space="preserve"> </w:t>
      </w:r>
      <w:r w:rsidRPr="00255387">
        <w:rPr>
          <w:rFonts w:ascii="David" w:hAnsi="David" w:cs="David"/>
          <w:color w:val="000000"/>
          <w:rtl/>
        </w:rPr>
        <w:t xml:space="preserve">לפיה יש לקבל את ערעורה של המערערת כאמור בפסקה סז לחוות דעתו, במובן זה שקביעת בית המשפט לענייני משפחה, לפיה זכאית המערערת לחלק מקצבת הפנסיה שתשתלם למערער, בין אם יפרוש בגיל הפרישה הסטטוטורי ובין אם בפרישה מוקדמת מחמת מצבו הבריאותי, בהתאם לשיעורי ומועדי החלוקה שנקבעו בפסק הדין, תיוותר על כנה. בנוסף, מסכים אני לקביעה כי ככל שתבחר המערערת להגיש את פסק הדין לרישום בגוף המשלם, לא תוכל לקבל את חלקה בקצבת פנסיה שתשתלם למערער עקב פרישה מוקדמת בשל מצבו הבריאותי באמצעות מנגנון החלוקה הקבוע בחוק, אך כן תוכל לממש את זכאותה לכספים אלה במנגנוני ההוצאה לפועל. נימוקיי לכך הם נימוקיו של חברי, המשנה לנשיאה (בדימ') א' </w:t>
      </w:r>
      <w:r w:rsidR="00224D70">
        <w:rPr>
          <w:rFonts w:ascii="David" w:hAnsi="David" w:cs="David" w:hint="cs"/>
          <w:color w:val="000000"/>
          <w:rtl/>
        </w:rPr>
        <w:t>רובינשטיין</w:t>
      </w:r>
      <w:r w:rsidRPr="00255387">
        <w:rPr>
          <w:rFonts w:ascii="David" w:hAnsi="David" w:cs="David"/>
          <w:color w:val="000000"/>
          <w:rtl/>
        </w:rPr>
        <w:t>, בחוות דעתו המקיפה – בבחינת דבר דבור על אופניו, ואוסיף משלי. הואיל וחברי היטיב לתאר את הנסיבות העובדתיות, אסתפק בהדגשה קצרה של הנתונים הרלוונטיים להכרעתי</w:t>
      </w:r>
      <w:r w:rsidRPr="00255387">
        <w:rPr>
          <w:rFonts w:ascii="David" w:hAnsi="David" w:cs="David"/>
          <w:color w:val="000000"/>
        </w:rPr>
        <w:t>.</w:t>
      </w:r>
    </w:p>
    <w:p w:rsidR="007C7382" w:rsidRDefault="0093576F" w:rsidP="00DB550C">
      <w:pPr>
        <w:pStyle w:val="NormalWeb"/>
        <w:bidi/>
        <w:spacing w:before="0" w:beforeAutospacing="0" w:after="285" w:afterAutospacing="0" w:line="360" w:lineRule="auto"/>
        <w:ind w:left="1134"/>
        <w:jc w:val="both"/>
        <w:rPr>
          <w:rFonts w:ascii="David" w:hAnsi="David" w:cs="David"/>
          <w:color w:val="000000"/>
          <w:rtl/>
        </w:rPr>
      </w:pPr>
      <w:r w:rsidRPr="00255387">
        <w:rPr>
          <w:rFonts w:ascii="David" w:hAnsi="David" w:cs="David"/>
          <w:color w:val="000000"/>
          <w:rtl/>
        </w:rPr>
        <w:lastRenderedPageBreak/>
        <w:t xml:space="preserve">מטרת החוק, שנחקק בשנת 2014, היא "לקבוע הסדרים בעניין חלוקה של חסכון פנסיוני בין חוסך ובין בן זוגו לשעבר, כפי שנקבעה בפסק דין לחלוקת חיסכון פנסיוני, באמצעות גוף משלם, לרבות גוף המשלם תשלומים לפי הסדר של פנסיה תקציבית בחוק או לפי </w:t>
      </w:r>
      <w:r w:rsidR="00DA74F7">
        <w:rPr>
          <w:rFonts w:ascii="David" w:hAnsi="David" w:cs="David"/>
          <w:color w:val="000000"/>
          <w:rtl/>
        </w:rPr>
        <w:t>הסכם המאמץ את חוק הג</w:t>
      </w:r>
      <w:r w:rsidRPr="00255387">
        <w:rPr>
          <w:rFonts w:ascii="David" w:hAnsi="David" w:cs="David"/>
          <w:color w:val="000000"/>
          <w:rtl/>
        </w:rPr>
        <w:t>מלאות" (סעיף 1 לחוק). על פי החוק, לבן זוג לשעבר – בהתקיים תנאים מסוימים – זכות עצמאית לקבל את חלקו מקצבת הפנסיה של בן הזוג החוסך, בהתאם לשיעור שנקבע בפסק דין לחלוקת חיסכון פנסיוני. זאת, ישירות מן הגוף המנהל או המבצע את הסדר החיסכון הפנסיוני אשר משלם את הקצבאות במועד גמלת הזכות. ההסדר האמור מותנה ברישום של פרטי פסק הדין לחלוקת חיסכון פנסיוני ברישומי אותו הגוף, בתנאים המנויים בחוק (סעיפים 3 ו-4 לחוק). החוק קובע אפוא כי בן זוג לשעבר יהיה זכאי לחלק מקצבת הפרישה של הזכאי לקצבה, אם ניתן פסק דין לחלוקת החיסכון הפנסיוני בין בני הזוג שנפרדו, ופסק הדין נרשם אצל הגוף המשלם; במקרה של פטירת הגמלאי – בן הזוג לשעבר יוכר כשאירו</w:t>
      </w:r>
      <w:r w:rsidR="00CB6967">
        <w:rPr>
          <w:rFonts w:ascii="David" w:hAnsi="David" w:cs="David"/>
          <w:color w:val="000000"/>
        </w:rPr>
        <w:t>"</w:t>
      </w:r>
      <w:r w:rsidR="00CB6967">
        <w:rPr>
          <w:rFonts w:ascii="David" w:hAnsi="David" w:cs="David" w:hint="cs"/>
          <w:color w:val="000000"/>
          <w:rtl/>
        </w:rPr>
        <w:t>.</w:t>
      </w:r>
    </w:p>
    <w:p w:rsidR="00955BC9" w:rsidRDefault="0093576F" w:rsidP="00224D70">
      <w:pPr>
        <w:pStyle w:val="NormalWeb"/>
        <w:bidi/>
        <w:spacing w:before="0" w:beforeAutospacing="0" w:after="285" w:afterAutospacing="0" w:line="360" w:lineRule="auto"/>
        <w:ind w:left="1134"/>
        <w:jc w:val="both"/>
        <w:rPr>
          <w:rFonts w:ascii="David" w:hAnsi="David" w:cs="David"/>
          <w:color w:val="000000"/>
        </w:rPr>
      </w:pPr>
      <w:r w:rsidRPr="00255387">
        <w:rPr>
          <w:rFonts w:ascii="David" w:hAnsi="David" w:cs="David"/>
          <w:color w:val="000000"/>
          <w:rtl/>
        </w:rPr>
        <w:t xml:space="preserve">בהתאם, תמים דעים אני עם דעתו של המשנה לנשיאה (בדימ') א' </w:t>
      </w:r>
      <w:r w:rsidR="00224D70">
        <w:rPr>
          <w:rFonts w:ascii="David" w:hAnsi="David" w:cs="David" w:hint="cs"/>
          <w:color w:val="000000"/>
          <w:rtl/>
        </w:rPr>
        <w:t>רובינשטיין</w:t>
      </w:r>
      <w:r w:rsidRPr="00255387">
        <w:rPr>
          <w:rFonts w:ascii="David" w:hAnsi="David" w:cs="David"/>
          <w:color w:val="000000"/>
          <w:rtl/>
        </w:rPr>
        <w:t xml:space="preserve"> לפיה תכליתו של החוק, שבאה לידי ביטוי בסעיף 1 לחוק אשר צוטט לעיל, היא ליצור כלי יישומי שנועד להקל על חלוקת החסכונות הפנסיוניים בין בני זוג שנפרדו, כאמור בפסק דין לחלוקת החיסכון הפנסיוני; מדובר ביצירת מנגנון חלוקה של זכויות הפנסיה ישירות מן הגוף המשלם, שראשיתו בבקשה לרישום פסק הדין לחלוקת החיסכון הפנסיוני ברישומי הגוף המשלם, ולאחר מכן רישום הערה בדבר פרטי פסקי הדין ופרטים נוספים בגוף המשלם. התנאים לרישום ההערה קבועים בסעיף 3 לחוק. כך למשל, התנאי לפיו שיעור חלוקת הקצבה לבן הזוג לשעבר של החוסך יהיה קבוע, והתנאי לפיו שיעור החלוקה לבן הזוג לשעבר של החוסך לא יעלה על מחצית משיעור הרכוש המשותף. צא ולמד, כי החוק נועד להקל על מימוש הזכות של בן הזוג לשעבר בחלק מקצבת הפנסיה של בן זוגו החוסך ולא כדי להתערב בהיקפה. במלים אחרות, עסקינן במימוש שיתוף פנסיוני ששיעורו נקבע על ידי בית המשפט בבירור פרטני בין הצדדים על סמך כללי הדין. לפיכך, פרשנות זו כוחה יפה אף ביחס להוראות הקבועות בפרק ד' לחוק, וכי בהוראות אלו לא התכוון המחוקק לשנות מן הדין המהותי החל על קביעת הרכיבים המשותפים לפנסיה במקרה של פרישה מוקדמת מסיבות בריאותיות. בדומה, קבעתי בפרשה אחרת (בע"מ 3514/13 פלוני נ' פלונית (18.12.2013), המוזכרת לעיל בפסקה נב לחוות דעתו של חברי, המשנה לנשיאה (בדימ') א' </w:t>
      </w:r>
      <w:r w:rsidR="00224D70">
        <w:rPr>
          <w:rFonts w:ascii="David" w:hAnsi="David" w:cs="David" w:hint="cs"/>
          <w:color w:val="000000"/>
          <w:rtl/>
        </w:rPr>
        <w:t>רובינשטיין</w:t>
      </w:r>
      <w:r w:rsidRPr="00255387">
        <w:rPr>
          <w:rFonts w:ascii="David" w:hAnsi="David" w:cs="David"/>
          <w:color w:val="000000"/>
          <w:rtl/>
        </w:rPr>
        <w:t>). במסגרת החלטה זו ציינתי</w:t>
      </w:r>
      <w:r w:rsidRPr="00255387">
        <w:rPr>
          <w:rFonts w:ascii="David" w:hAnsi="David" w:cs="David"/>
          <w:color w:val="000000"/>
        </w:rPr>
        <w:t>:</w:t>
      </w:r>
    </w:p>
    <w:p w:rsidR="007C7382" w:rsidRPr="00E815CE" w:rsidRDefault="00955BC9" w:rsidP="00DA74F7">
      <w:pPr>
        <w:pStyle w:val="NormalWeb"/>
        <w:bidi/>
        <w:spacing w:before="0" w:beforeAutospacing="0" w:after="285" w:afterAutospacing="0" w:line="360" w:lineRule="auto"/>
        <w:ind w:left="1134"/>
        <w:jc w:val="both"/>
        <w:rPr>
          <w:rFonts w:ascii="David" w:hAnsi="David" w:cs="David"/>
          <w:color w:val="000000"/>
          <w:rtl/>
        </w:rPr>
      </w:pPr>
      <w:r>
        <w:rPr>
          <w:rFonts w:ascii="David" w:hAnsi="David" w:cs="David"/>
          <w:color w:val="000000"/>
        </w:rPr>
        <w:t>"</w:t>
      </w:r>
      <w:r w:rsidR="0093576F" w:rsidRPr="00955BC9">
        <w:rPr>
          <w:rFonts w:ascii="David" w:hAnsi="David" w:cs="David"/>
          <w:color w:val="000000"/>
          <w:rtl/>
        </w:rPr>
        <w:t>ההבחנות הקיימות בין שני סוגי הפנסיה (המוקדמת והרגילה, נ.ה.) כלל אינן רלוונטיות לאיזון המשאבים בין בני הזוג. המרכיב היסודי והעיקרי של הפנסיה נשמר בין אם היא מוקדמת ובין אם היא רגילה. העיקר הוא סיום הקשר ביחסי עובד-מעביד וטפלה היא דרך סיום הקשר" (שם, פסקה 3)</w:t>
      </w:r>
    </w:p>
    <w:p w:rsidR="00094281" w:rsidRPr="00DA74F7" w:rsidRDefault="007C7382" w:rsidP="00DB550C">
      <w:pPr>
        <w:pStyle w:val="NormalWeb"/>
        <w:numPr>
          <w:ilvl w:val="0"/>
          <w:numId w:val="1"/>
        </w:numPr>
        <w:bidi/>
        <w:spacing w:before="0" w:beforeAutospacing="0" w:after="285" w:afterAutospacing="0" w:line="360" w:lineRule="auto"/>
        <w:jc w:val="both"/>
        <w:rPr>
          <w:rFonts w:ascii="David" w:hAnsi="David" w:cs="David"/>
          <w:rtl/>
        </w:rPr>
      </w:pPr>
      <w:r w:rsidRPr="00DA74F7">
        <w:rPr>
          <w:rFonts w:ascii="David" w:hAnsi="David" w:cs="David"/>
          <w:rtl/>
        </w:rPr>
        <w:lastRenderedPageBreak/>
        <w:t>ל</w:t>
      </w:r>
      <w:r w:rsidR="00DA74F7" w:rsidRPr="00DA74F7">
        <w:rPr>
          <w:rFonts w:ascii="David" w:hAnsi="David" w:cs="David"/>
          <w:rtl/>
        </w:rPr>
        <w:t>אור ההל</w:t>
      </w:r>
      <w:r w:rsidR="00094281" w:rsidRPr="00DA74F7">
        <w:rPr>
          <w:rFonts w:ascii="David" w:hAnsi="David" w:cs="David"/>
          <w:rtl/>
        </w:rPr>
        <w:t xml:space="preserve">כה שנפסקה </w:t>
      </w:r>
      <w:r w:rsidRPr="00DA74F7">
        <w:rPr>
          <w:rFonts w:ascii="David" w:hAnsi="David" w:cs="David"/>
          <w:rtl/>
        </w:rPr>
        <w:t xml:space="preserve">בבע"מ </w:t>
      </w:r>
      <w:r w:rsidR="00094281" w:rsidRPr="00DA74F7">
        <w:rPr>
          <w:rFonts w:ascii="David" w:hAnsi="David" w:cs="David"/>
          <w:rtl/>
        </w:rPr>
        <w:t xml:space="preserve"> </w:t>
      </w:r>
      <w:r w:rsidRPr="00DA74F7">
        <w:rPr>
          <w:rFonts w:ascii="David" w:hAnsi="David" w:cs="David"/>
          <w:rtl/>
        </w:rPr>
        <w:t>4860/16</w:t>
      </w:r>
      <w:r w:rsidR="00094281" w:rsidRPr="00DA74F7">
        <w:rPr>
          <w:rFonts w:ascii="David" w:hAnsi="David" w:cs="David"/>
          <w:rtl/>
        </w:rPr>
        <w:t xml:space="preserve"> הנ"ל, בהינתן כי אי</w:t>
      </w:r>
      <w:r w:rsidR="00DA05D9" w:rsidRPr="00DA74F7">
        <w:rPr>
          <w:rFonts w:ascii="David" w:hAnsi="David" w:cs="David"/>
          <w:rtl/>
        </w:rPr>
        <w:t>ן חולק בין הצדדים כי פרישת</w:t>
      </w:r>
      <w:r w:rsidR="00DC49F0" w:rsidRPr="00DA74F7">
        <w:rPr>
          <w:rFonts w:ascii="David" w:hAnsi="David" w:cs="David"/>
          <w:rtl/>
        </w:rPr>
        <w:t>ה</w:t>
      </w:r>
      <w:r w:rsidR="00094281" w:rsidRPr="00DA74F7">
        <w:rPr>
          <w:rFonts w:ascii="David" w:hAnsi="David" w:cs="David"/>
          <w:rtl/>
        </w:rPr>
        <w:t xml:space="preserve"> המוקדמת של האיש</w:t>
      </w:r>
      <w:r w:rsidR="00DA05D9" w:rsidRPr="00DA74F7">
        <w:rPr>
          <w:rFonts w:ascii="David" w:hAnsi="David" w:cs="David"/>
          <w:rtl/>
        </w:rPr>
        <w:t>ה</w:t>
      </w:r>
      <w:r w:rsidR="00094281" w:rsidRPr="00DA74F7">
        <w:rPr>
          <w:rFonts w:ascii="David" w:hAnsi="David" w:cs="David"/>
          <w:rtl/>
        </w:rPr>
        <w:t xml:space="preserve"> לפנסיה נבעה מטעמים ב</w:t>
      </w:r>
      <w:r w:rsidR="00D75BE6" w:rsidRPr="00DA74F7">
        <w:rPr>
          <w:rFonts w:ascii="David" w:hAnsi="David" w:cs="David"/>
          <w:rtl/>
        </w:rPr>
        <w:t>ריאותיים, ויובהר כי הנתבעת מקבלת מידי חודש תשלומי פנסיה ובנוסף קצבת נכות. אני מקבל את התביעה לפיה זכאי התובע לחלק מקצבת הפנסיה המ</w:t>
      </w:r>
      <w:r w:rsidR="00DB550C" w:rsidRPr="00DA74F7">
        <w:rPr>
          <w:rFonts w:ascii="David" w:hAnsi="David" w:cs="David" w:hint="cs"/>
          <w:rtl/>
        </w:rPr>
        <w:t>ש</w:t>
      </w:r>
      <w:r w:rsidR="00D75BE6" w:rsidRPr="00DA74F7">
        <w:rPr>
          <w:rFonts w:ascii="David" w:hAnsi="David" w:cs="David"/>
          <w:rtl/>
        </w:rPr>
        <w:t>תלמת לנתבעת, עקב פרישתה המוקדמת מחמת מצבה הבריאותי בהתאם לשיעורה ומועדי החלוקה שנקבעו.</w:t>
      </w:r>
    </w:p>
    <w:p w:rsidR="00094281" w:rsidRPr="00DA74F7" w:rsidRDefault="00D75BE6" w:rsidP="00DB550C">
      <w:pPr>
        <w:pStyle w:val="NormalWeb"/>
        <w:bidi/>
        <w:spacing w:before="0" w:beforeAutospacing="0" w:after="285" w:afterAutospacing="0" w:line="360" w:lineRule="auto"/>
        <w:ind w:left="720"/>
        <w:jc w:val="both"/>
        <w:rPr>
          <w:rFonts w:ascii="David" w:hAnsi="David" w:cs="David"/>
          <w:rtl/>
        </w:rPr>
      </w:pPr>
      <w:r w:rsidRPr="00DA74F7">
        <w:rPr>
          <w:rFonts w:ascii="David" w:hAnsi="David" w:cs="David"/>
          <w:rtl/>
        </w:rPr>
        <w:t xml:space="preserve">ככל שיבחר התובע </w:t>
      </w:r>
      <w:r w:rsidR="007C7382" w:rsidRPr="00DA74F7">
        <w:rPr>
          <w:rFonts w:ascii="David" w:hAnsi="David" w:cs="David"/>
          <w:color w:val="000000"/>
          <w:rtl/>
        </w:rPr>
        <w:t xml:space="preserve">להגיש את פסק הדין לרישום בגוף המשלם, לא </w:t>
      </w:r>
      <w:r w:rsidRPr="00DA74F7">
        <w:rPr>
          <w:rFonts w:ascii="David" w:hAnsi="David" w:cs="David"/>
          <w:color w:val="000000"/>
          <w:rtl/>
        </w:rPr>
        <w:t>יוכל לקבל את חלקו</w:t>
      </w:r>
      <w:r w:rsidR="007C7382" w:rsidRPr="00DA74F7">
        <w:rPr>
          <w:rFonts w:ascii="David" w:hAnsi="David" w:cs="David"/>
          <w:color w:val="000000"/>
          <w:rtl/>
        </w:rPr>
        <w:t xml:space="preserve"> בקצבת </w:t>
      </w:r>
      <w:r w:rsidR="00DB550C" w:rsidRPr="00DA74F7">
        <w:rPr>
          <w:rFonts w:ascii="David" w:hAnsi="David" w:cs="David" w:hint="cs"/>
          <w:color w:val="000000"/>
          <w:rtl/>
        </w:rPr>
        <w:t>ה</w:t>
      </w:r>
      <w:r w:rsidR="007C7382" w:rsidRPr="00DA74F7">
        <w:rPr>
          <w:rFonts w:ascii="David" w:hAnsi="David" w:cs="David"/>
          <w:color w:val="000000"/>
          <w:rtl/>
        </w:rPr>
        <w:t xml:space="preserve">פנסיה </w:t>
      </w:r>
      <w:r w:rsidR="00DB550C" w:rsidRPr="00DA74F7">
        <w:rPr>
          <w:rFonts w:ascii="David" w:hAnsi="David" w:cs="David" w:hint="cs"/>
          <w:color w:val="000000"/>
          <w:rtl/>
        </w:rPr>
        <w:t>שמשתלמת</w:t>
      </w:r>
      <w:r w:rsidR="007C7382" w:rsidRPr="00DA74F7">
        <w:rPr>
          <w:rFonts w:ascii="David" w:hAnsi="David" w:cs="David"/>
          <w:color w:val="000000"/>
          <w:rtl/>
        </w:rPr>
        <w:t xml:space="preserve"> </w:t>
      </w:r>
      <w:r w:rsidRPr="00DA74F7">
        <w:rPr>
          <w:rFonts w:ascii="David" w:hAnsi="David" w:cs="David"/>
          <w:color w:val="000000"/>
          <w:rtl/>
        </w:rPr>
        <w:t xml:space="preserve">לנתבעת עקב פרישה מוקדמת בשל מצבה </w:t>
      </w:r>
      <w:r w:rsidR="007C7382" w:rsidRPr="00DA74F7">
        <w:rPr>
          <w:rFonts w:ascii="David" w:hAnsi="David" w:cs="David"/>
          <w:color w:val="000000"/>
          <w:rtl/>
        </w:rPr>
        <w:t xml:space="preserve">הבריאותי באמצעות מנגנון החלוקה הקבוע בחוק, אך </w:t>
      </w:r>
      <w:r w:rsidRPr="00DA74F7">
        <w:rPr>
          <w:rFonts w:ascii="David" w:hAnsi="David" w:cs="David"/>
          <w:color w:val="000000"/>
          <w:rtl/>
        </w:rPr>
        <w:t>יוכל לממש את זכאותו</w:t>
      </w:r>
      <w:r w:rsidR="007C7382" w:rsidRPr="00DA74F7">
        <w:rPr>
          <w:rFonts w:ascii="David" w:hAnsi="David" w:cs="David"/>
          <w:color w:val="000000"/>
          <w:rtl/>
        </w:rPr>
        <w:t xml:space="preserve"> לכספים אלה במנגנוני ההוצאה לפועל</w:t>
      </w:r>
      <w:r w:rsidR="007C7382" w:rsidRPr="00DA74F7">
        <w:rPr>
          <w:rFonts w:ascii="David" w:hAnsi="David" w:cs="David"/>
          <w:color w:val="000000"/>
        </w:rPr>
        <w:t>.</w:t>
      </w:r>
    </w:p>
    <w:p w:rsidR="00E815CE" w:rsidRPr="00DA74F7" w:rsidRDefault="00E815CE" w:rsidP="00F76DD9">
      <w:pPr>
        <w:pStyle w:val="NormalWeb"/>
        <w:numPr>
          <w:ilvl w:val="0"/>
          <w:numId w:val="1"/>
        </w:numPr>
        <w:bidi/>
        <w:spacing w:before="0" w:beforeAutospacing="0" w:after="285" w:afterAutospacing="0" w:line="360" w:lineRule="auto"/>
        <w:jc w:val="both"/>
        <w:rPr>
          <w:rFonts w:ascii="David" w:hAnsi="David" w:cs="David"/>
        </w:rPr>
      </w:pPr>
      <w:r w:rsidRPr="00DA74F7">
        <w:rPr>
          <w:rFonts w:ascii="David" w:hAnsi="David" w:cs="David" w:hint="cs"/>
          <w:rtl/>
        </w:rPr>
        <w:t xml:space="preserve">בהמשך לאמור, מצאתי להורות על מינויו של האקטואר פרופ' </w:t>
      </w:r>
      <w:r w:rsidR="00F76DD9">
        <w:rPr>
          <w:rFonts w:ascii="David" w:hAnsi="David" w:cs="David" w:hint="cs"/>
        </w:rPr>
        <w:t>XXX</w:t>
      </w:r>
      <w:r w:rsidRPr="00DA74F7">
        <w:rPr>
          <w:rFonts w:ascii="David" w:hAnsi="David" w:cs="David" w:hint="cs"/>
          <w:rtl/>
        </w:rPr>
        <w:t xml:space="preserve"> </w:t>
      </w:r>
      <w:r w:rsidR="001F41FA" w:rsidRPr="00DA74F7">
        <w:rPr>
          <w:rFonts w:ascii="David" w:hAnsi="David" w:cs="David" w:hint="cs"/>
          <w:rtl/>
        </w:rPr>
        <w:t>מהפ</w:t>
      </w:r>
      <w:r w:rsidRPr="00DA74F7">
        <w:rPr>
          <w:rFonts w:ascii="David" w:hAnsi="David" w:cs="David" w:hint="cs"/>
          <w:rtl/>
        </w:rPr>
        <w:t>ק</w:t>
      </w:r>
      <w:r w:rsidR="001F41FA" w:rsidRPr="00DA74F7">
        <w:rPr>
          <w:rFonts w:ascii="David" w:hAnsi="David" w:cs="David" w:hint="cs"/>
          <w:rtl/>
        </w:rPr>
        <w:t>ו</w:t>
      </w:r>
      <w:r w:rsidRPr="00DA74F7">
        <w:rPr>
          <w:rFonts w:ascii="David" w:hAnsi="David" w:cs="David" w:hint="cs"/>
          <w:rtl/>
        </w:rPr>
        <w:t xml:space="preserve">לטה לניהול ע"ש </w:t>
      </w:r>
      <w:r w:rsidR="00F76DD9">
        <w:rPr>
          <w:rFonts w:ascii="David" w:hAnsi="David" w:cs="David" w:hint="cs"/>
        </w:rPr>
        <w:t>XXX</w:t>
      </w:r>
      <w:r w:rsidRPr="00DA74F7">
        <w:rPr>
          <w:rFonts w:ascii="David" w:hAnsi="David" w:cs="David" w:hint="cs"/>
          <w:rtl/>
        </w:rPr>
        <w:t xml:space="preserve"> גלזר המחלקה למנהל עסקים באוניברסיטת בן גוריון. טל' </w:t>
      </w:r>
      <w:r w:rsidR="00F76DD9">
        <w:rPr>
          <w:rFonts w:ascii="David" w:hAnsi="David" w:cs="David" w:hint="cs"/>
        </w:rPr>
        <w:t>XXX</w:t>
      </w:r>
      <w:r w:rsidRPr="00DA74F7">
        <w:rPr>
          <w:rFonts w:ascii="David" w:hAnsi="David" w:cs="David" w:hint="cs"/>
          <w:rtl/>
        </w:rPr>
        <w:t xml:space="preserve">. לצורך הערכת חלקו של התובע בקצבת הפנסיה המשולמת לנתבעת בהתאם לשיעורה </w:t>
      </w:r>
      <w:r w:rsidRPr="00DA74F7">
        <w:rPr>
          <w:rFonts w:ascii="David" w:hAnsi="David" w:cs="David"/>
          <w:rtl/>
        </w:rPr>
        <w:t>ומועדי החלוקה כפי שנקבעו.</w:t>
      </w:r>
    </w:p>
    <w:p w:rsidR="001F41FA" w:rsidRPr="00DA74F7" w:rsidRDefault="00E815CE" w:rsidP="00E815CE">
      <w:pPr>
        <w:pStyle w:val="NormalWeb"/>
        <w:bidi/>
        <w:spacing w:before="0" w:beforeAutospacing="0" w:after="285" w:afterAutospacing="0" w:line="360" w:lineRule="auto"/>
        <w:ind w:left="720"/>
        <w:jc w:val="both"/>
        <w:rPr>
          <w:rFonts w:ascii="David" w:hAnsi="David" w:cs="David"/>
          <w:rtl/>
        </w:rPr>
      </w:pPr>
      <w:r w:rsidRPr="00DA74F7">
        <w:rPr>
          <w:rFonts w:ascii="David" w:hAnsi="David" w:cs="David"/>
          <w:rtl/>
        </w:rPr>
        <w:t>שכ"ט האקטואר יחולק בין הצדדים באופן שווה.</w:t>
      </w:r>
      <w:r w:rsidR="001F41FA" w:rsidRPr="00DA74F7">
        <w:rPr>
          <w:rFonts w:ascii="David" w:hAnsi="David" w:cs="David"/>
          <w:rtl/>
        </w:rPr>
        <w:t xml:space="preserve"> </w:t>
      </w:r>
    </w:p>
    <w:p w:rsidR="00E815CE" w:rsidRPr="00DA74F7" w:rsidRDefault="001F41FA" w:rsidP="001F41FA">
      <w:pPr>
        <w:pStyle w:val="NormalWeb"/>
        <w:bidi/>
        <w:spacing w:before="0" w:beforeAutospacing="0" w:after="285" w:afterAutospacing="0" w:line="360" w:lineRule="auto"/>
        <w:ind w:left="720"/>
        <w:jc w:val="both"/>
        <w:rPr>
          <w:rFonts w:ascii="David" w:hAnsi="David" w:cs="David"/>
          <w:rtl/>
        </w:rPr>
      </w:pPr>
      <w:r w:rsidRPr="00DA74F7">
        <w:rPr>
          <w:rFonts w:ascii="David" w:hAnsi="David" w:cs="David"/>
          <w:rtl/>
        </w:rPr>
        <w:t>ב"כ הצדדים  יפנו לאלתר לאקטואר וימסרו לו את כל המידע והחומרים הדרושים לו לצורך עריכת חוות דעתו ועל מנת שיוכל להגיש את חוות דעתו בהקדם האפשרי.</w:t>
      </w:r>
    </w:p>
    <w:p w:rsidR="001F41FA" w:rsidRPr="00DA74F7" w:rsidRDefault="001F41FA" w:rsidP="001F41FA">
      <w:pPr>
        <w:pStyle w:val="NormalWeb"/>
        <w:bidi/>
        <w:spacing w:before="0" w:beforeAutospacing="0" w:after="285" w:afterAutospacing="0" w:line="360" w:lineRule="auto"/>
        <w:ind w:left="720"/>
        <w:jc w:val="both"/>
        <w:rPr>
          <w:rFonts w:ascii="David" w:hAnsi="David" w:cs="David"/>
          <w:rtl/>
        </w:rPr>
      </w:pPr>
      <w:r w:rsidRPr="00DA74F7">
        <w:rPr>
          <w:rFonts w:ascii="David" w:hAnsi="David" w:cs="David"/>
          <w:rtl/>
        </w:rPr>
        <w:t>חוות הדעת תוגש ישירות לתיק ביהמ"ש ולב</w:t>
      </w:r>
      <w:r w:rsidRPr="00DA74F7">
        <w:rPr>
          <w:rFonts w:ascii="David" w:hAnsi="David" w:cs="David" w:hint="cs"/>
          <w:rtl/>
        </w:rPr>
        <w:t>"כ הצדדים.</w:t>
      </w:r>
    </w:p>
    <w:p w:rsidR="00694556" w:rsidRPr="00DA74F7" w:rsidRDefault="001F41FA" w:rsidP="00DA74F7">
      <w:pPr>
        <w:pStyle w:val="NormalWeb"/>
        <w:numPr>
          <w:ilvl w:val="0"/>
          <w:numId w:val="1"/>
        </w:numPr>
        <w:bidi/>
        <w:spacing w:before="0" w:beforeAutospacing="0" w:after="285" w:afterAutospacing="0" w:line="360" w:lineRule="auto"/>
        <w:jc w:val="both"/>
        <w:rPr>
          <w:rFonts w:ascii="David" w:hAnsi="David" w:cs="David"/>
          <w:rtl/>
        </w:rPr>
      </w:pPr>
      <w:r w:rsidRPr="001F41FA">
        <w:rPr>
          <w:rFonts w:ascii="David" w:hAnsi="David" w:cs="David" w:hint="cs"/>
          <w:rtl/>
        </w:rPr>
        <w:t>בכך מסתיים הבירור בהליך שבפניי המזכירות תסגור התיק.</w:t>
      </w:r>
      <w:r>
        <w:rPr>
          <w:rFonts w:ascii="David" w:hAnsi="David" w:cs="David" w:hint="cs"/>
          <w:rtl/>
        </w:rPr>
        <w:t xml:space="preserve"> יוער כי חוות הדעת כאמור בס' 39 תוגש לתיק גם בהיותו בסטטוס- סגור.</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D118E" w:rsidP="00633C4F">
      <w:pPr>
        <w:spacing w:line="360" w:lineRule="auto"/>
        <w:ind w:left="3600" w:firstLine="720"/>
      </w:pPr>
      <w:sdt>
        <w:sdtPr>
          <w:rPr>
            <w:rtl/>
          </w:rPr>
          <w:alias w:val="MergeField"/>
          <w:tag w:val="1237"/>
          <w:id w:val="-584148793"/>
        </w:sdtPr>
        <w:sdtEndPr/>
        <w:sdtContent>
          <w:r w:rsidR="00F76DD9">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8E" w:rsidRDefault="003D118E">
      <w:r>
        <w:separator/>
      </w:r>
    </w:p>
  </w:endnote>
  <w:endnote w:type="continuationSeparator" w:id="0">
    <w:p w:rsidR="003D118E" w:rsidRDefault="003D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4C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4C3D">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8E" w:rsidRDefault="003D118E">
      <w:r>
        <w:separator/>
      </w:r>
    </w:p>
  </w:footnote>
  <w:footnote w:type="continuationSeparator" w:id="0">
    <w:p w:rsidR="003D118E" w:rsidRDefault="003D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D118E" w:rsidP="00BB238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23960-08-21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B238D">
                <w:rPr>
                  <w:rFonts w:hint="cs"/>
                  <w:b/>
                  <w:bCs/>
                  <w:noProof w:val="0"/>
                  <w:sz w:val="26"/>
                  <w:szCs w:val="26"/>
                </w:rPr>
                <w:t>XXX</w:t>
              </w:r>
              <w:r w:rsidR="00E44DDF">
                <w:rPr>
                  <w:b/>
                  <w:bCs/>
                  <w:noProof w:val="0"/>
                  <w:sz w:val="26"/>
                  <w:szCs w:val="26"/>
                  <w:rtl/>
                </w:rPr>
                <w:t xml:space="preserve"> נ' </w:t>
              </w:r>
              <w:r w:rsidR="00BB238D">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83273"/>
    <w:multiLevelType w:val="hybridMultilevel"/>
    <w:tmpl w:val="6BB434EC"/>
    <w:lvl w:ilvl="0" w:tplc="C414BD22">
      <w:start w:val="3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22A54A8"/>
    <w:multiLevelType w:val="hybridMultilevel"/>
    <w:tmpl w:val="4418C7B6"/>
    <w:lvl w:ilvl="0" w:tplc="3966919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193"/>
    <w:rsid w:val="00005C8B"/>
    <w:rsid w:val="000146C2"/>
    <w:rsid w:val="00016C35"/>
    <w:rsid w:val="000258FD"/>
    <w:rsid w:val="000564AB"/>
    <w:rsid w:val="00094281"/>
    <w:rsid w:val="000D4A02"/>
    <w:rsid w:val="000F2B6A"/>
    <w:rsid w:val="001072A9"/>
    <w:rsid w:val="00121F97"/>
    <w:rsid w:val="001277D7"/>
    <w:rsid w:val="00132017"/>
    <w:rsid w:val="0014234E"/>
    <w:rsid w:val="00145A87"/>
    <w:rsid w:val="001C4003"/>
    <w:rsid w:val="001F41FA"/>
    <w:rsid w:val="001F5474"/>
    <w:rsid w:val="0021347C"/>
    <w:rsid w:val="00224D70"/>
    <w:rsid w:val="002352F7"/>
    <w:rsid w:val="00255387"/>
    <w:rsid w:val="00262A55"/>
    <w:rsid w:val="0027277D"/>
    <w:rsid w:val="00355231"/>
    <w:rsid w:val="00381D3A"/>
    <w:rsid w:val="003823DA"/>
    <w:rsid w:val="00395A57"/>
    <w:rsid w:val="003D118E"/>
    <w:rsid w:val="003E2BD2"/>
    <w:rsid w:val="0043595F"/>
    <w:rsid w:val="0047645A"/>
    <w:rsid w:val="00494C3D"/>
    <w:rsid w:val="004D49A3"/>
    <w:rsid w:val="004D50AC"/>
    <w:rsid w:val="004E6E3C"/>
    <w:rsid w:val="005124F1"/>
    <w:rsid w:val="00530BAD"/>
    <w:rsid w:val="00541598"/>
    <w:rsid w:val="00544ADF"/>
    <w:rsid w:val="00547DB7"/>
    <w:rsid w:val="00567324"/>
    <w:rsid w:val="00584FC7"/>
    <w:rsid w:val="005B0F49"/>
    <w:rsid w:val="005C7EC6"/>
    <w:rsid w:val="005D4BDB"/>
    <w:rsid w:val="005D4CFA"/>
    <w:rsid w:val="00601390"/>
    <w:rsid w:val="00622BAA"/>
    <w:rsid w:val="00625C89"/>
    <w:rsid w:val="00633C4F"/>
    <w:rsid w:val="00671BD5"/>
    <w:rsid w:val="006725EE"/>
    <w:rsid w:val="006805C1"/>
    <w:rsid w:val="00680F7F"/>
    <w:rsid w:val="006816EC"/>
    <w:rsid w:val="00694556"/>
    <w:rsid w:val="006C42C0"/>
    <w:rsid w:val="006E1A53"/>
    <w:rsid w:val="006F2344"/>
    <w:rsid w:val="006F7A7D"/>
    <w:rsid w:val="007056AA"/>
    <w:rsid w:val="00744F41"/>
    <w:rsid w:val="007A24FE"/>
    <w:rsid w:val="007A35AA"/>
    <w:rsid w:val="007C7382"/>
    <w:rsid w:val="007E5B53"/>
    <w:rsid w:val="007F1048"/>
    <w:rsid w:val="00820005"/>
    <w:rsid w:val="00836AAE"/>
    <w:rsid w:val="00846D27"/>
    <w:rsid w:val="008610A7"/>
    <w:rsid w:val="008B53F2"/>
    <w:rsid w:val="008E1332"/>
    <w:rsid w:val="008E2C4A"/>
    <w:rsid w:val="00903896"/>
    <w:rsid w:val="00927813"/>
    <w:rsid w:val="0093576F"/>
    <w:rsid w:val="00944D13"/>
    <w:rsid w:val="00950191"/>
    <w:rsid w:val="00955BC9"/>
    <w:rsid w:val="00957C90"/>
    <w:rsid w:val="009A2893"/>
    <w:rsid w:val="009B70F6"/>
    <w:rsid w:val="009C358E"/>
    <w:rsid w:val="009E0263"/>
    <w:rsid w:val="00A14EB6"/>
    <w:rsid w:val="00A267CF"/>
    <w:rsid w:val="00A43458"/>
    <w:rsid w:val="00A72F29"/>
    <w:rsid w:val="00AA5086"/>
    <w:rsid w:val="00AC4E19"/>
    <w:rsid w:val="00AF1ED6"/>
    <w:rsid w:val="00B32C61"/>
    <w:rsid w:val="00B368FE"/>
    <w:rsid w:val="00B80CBD"/>
    <w:rsid w:val="00BB238D"/>
    <w:rsid w:val="00BC3369"/>
    <w:rsid w:val="00BE7C09"/>
    <w:rsid w:val="00BF77EE"/>
    <w:rsid w:val="00C32E0F"/>
    <w:rsid w:val="00C42BF9"/>
    <w:rsid w:val="00C44887"/>
    <w:rsid w:val="00C83E56"/>
    <w:rsid w:val="00C92657"/>
    <w:rsid w:val="00CB6967"/>
    <w:rsid w:val="00CC63CE"/>
    <w:rsid w:val="00CD7B15"/>
    <w:rsid w:val="00D319B3"/>
    <w:rsid w:val="00D36A71"/>
    <w:rsid w:val="00D53924"/>
    <w:rsid w:val="00D60849"/>
    <w:rsid w:val="00D620A0"/>
    <w:rsid w:val="00D75BE6"/>
    <w:rsid w:val="00D96D8C"/>
    <w:rsid w:val="00DA05D9"/>
    <w:rsid w:val="00DA46AE"/>
    <w:rsid w:val="00DA74F7"/>
    <w:rsid w:val="00DA755B"/>
    <w:rsid w:val="00DB550C"/>
    <w:rsid w:val="00DC49F0"/>
    <w:rsid w:val="00DD337E"/>
    <w:rsid w:val="00E00B6F"/>
    <w:rsid w:val="00E44DDF"/>
    <w:rsid w:val="00E54642"/>
    <w:rsid w:val="00E60435"/>
    <w:rsid w:val="00E815CE"/>
    <w:rsid w:val="00E97908"/>
    <w:rsid w:val="00EA1C86"/>
    <w:rsid w:val="00ED41EB"/>
    <w:rsid w:val="00EF3ED0"/>
    <w:rsid w:val="00F17E56"/>
    <w:rsid w:val="00F76DD9"/>
    <w:rsid w:val="00F81A58"/>
    <w:rsid w:val="00FB3AB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725EE"/>
    <w:pPr>
      <w:ind w:left="720"/>
      <w:contextualSpacing/>
    </w:pPr>
  </w:style>
  <w:style w:type="paragraph" w:customStyle="1" w:styleId="bodytext0">
    <w:name w:val="bodytext0"/>
    <w:basedOn w:val="a"/>
    <w:rsid w:val="007E5B53"/>
    <w:pPr>
      <w:bidi w:val="0"/>
      <w:spacing w:before="100" w:beforeAutospacing="1" w:after="100" w:afterAutospacing="1"/>
    </w:pPr>
    <w:rPr>
      <w:rFonts w:cs="Times New Roman"/>
      <w:noProof w:val="0"/>
    </w:rPr>
  </w:style>
  <w:style w:type="paragraph" w:styleId="NormalWeb">
    <w:name w:val="Normal (Web)"/>
    <w:basedOn w:val="a"/>
    <w:uiPriority w:val="99"/>
    <w:unhideWhenUsed/>
    <w:rsid w:val="0093576F"/>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061978">
      <w:bodyDiv w:val="1"/>
      <w:marLeft w:val="0"/>
      <w:marRight w:val="0"/>
      <w:marTop w:val="0"/>
      <w:marBottom w:val="0"/>
      <w:divBdr>
        <w:top w:val="none" w:sz="0" w:space="0" w:color="auto"/>
        <w:left w:val="none" w:sz="0" w:space="0" w:color="auto"/>
        <w:bottom w:val="none" w:sz="0" w:space="0" w:color="auto"/>
        <w:right w:val="none" w:sz="0" w:space="0" w:color="auto"/>
      </w:divBdr>
    </w:div>
    <w:div w:id="118791106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901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E0E51"/>
    <w:rsid w:val="00B40AEB"/>
    <w:rsid w:val="00B65812"/>
    <w:rsid w:val="00C36221"/>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2098</Words>
  <Characters>10494</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2023-04-18T12:28:00Z</cp:lastPrinted>
  <dcterms:created xsi:type="dcterms:W3CDTF">2024-12-26T08:20:00Z</dcterms:created>
  <dcterms:modified xsi:type="dcterms:W3CDTF">2024-12-26T08:20:00Z</dcterms:modified>
</cp:coreProperties>
</file>